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overflowPunct/>
        <w:topLinePunct w:val="0"/>
        <w:autoSpaceDE/>
        <w:bidi w:val="0"/>
        <w:snapToGrid/>
        <w:spacing w:line="240" w:lineRule="auto"/>
        <w:jc w:val="both"/>
        <w:textAlignment w:val="auto"/>
        <w:rPr>
          <w:rFonts w:hint="eastAsia"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附件1</w:t>
      </w:r>
    </w:p>
    <w:p>
      <w:pPr>
        <w:pStyle w:val="7"/>
        <w:keepNext w:val="0"/>
        <w:keepLines w:val="0"/>
        <w:pageBreakBefore w:val="0"/>
        <w:widowControl/>
        <w:kinsoku/>
        <w:wordWrap w:val="0"/>
        <w:overflowPunct/>
        <w:topLinePunct w:val="0"/>
        <w:autoSpaceDE/>
        <w:bidi w:val="0"/>
        <w:snapToGrid/>
        <w:spacing w:before="0" w:beforeAutospacing="0" w:after="0" w:afterAutospacing="0" w:line="240" w:lineRule="auto"/>
        <w:jc w:val="both"/>
        <w:textAlignment w:val="auto"/>
        <w:rPr>
          <w:rFonts w:hint="eastAsia" w:ascii="宋体" w:hAnsi="宋体"/>
          <w:color w:val="000000" w:themeColor="text1"/>
          <w:sz w:val="32"/>
          <w:szCs w:val="32"/>
          <w:u w:val="none"/>
          <w14:textFill>
            <w14:solidFill>
              <w14:schemeClr w14:val="tx1"/>
            </w14:solidFill>
          </w14:textFill>
        </w:rPr>
      </w:pPr>
    </w:p>
    <w:p>
      <w:pPr>
        <w:pStyle w:val="7"/>
        <w:keepNext w:val="0"/>
        <w:keepLines w:val="0"/>
        <w:pageBreakBefore w:val="0"/>
        <w:widowControl/>
        <w:kinsoku/>
        <w:wordWrap w:val="0"/>
        <w:overflowPunct/>
        <w:topLinePunct w:val="0"/>
        <w:autoSpaceDE/>
        <w:bidi w:val="0"/>
        <w:snapToGrid/>
        <w:spacing w:before="0" w:beforeAutospacing="0" w:after="0" w:afterAutospacing="0" w:line="240" w:lineRule="auto"/>
        <w:jc w:val="center"/>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r>
        <w:rPr>
          <w:rFonts w:hint="eastAsia" w:ascii="方正小标宋简体" w:eastAsia="方正小标宋简体"/>
          <w:color w:val="000000" w:themeColor="text1"/>
          <w:spacing w:val="-12"/>
          <w:sz w:val="44"/>
          <w:szCs w:val="44"/>
          <w:u w:val="none"/>
          <w14:textFill>
            <w14:solidFill>
              <w14:schemeClr w14:val="tx1"/>
            </w14:solidFill>
          </w14:textFill>
        </w:rPr>
        <w:t>部分不合格项目的小知识</w:t>
      </w:r>
    </w:p>
    <w:p>
      <w:pPr>
        <w:pStyle w:val="7"/>
        <w:keepNext w:val="0"/>
        <w:keepLines w:val="0"/>
        <w:pageBreakBefore w:val="0"/>
        <w:widowControl/>
        <w:kinsoku/>
        <w:wordWrap w:val="0"/>
        <w:overflowPunct/>
        <w:topLinePunct w:val="0"/>
        <w:autoSpaceDE/>
        <w:bidi w:val="0"/>
        <w:snapToGrid/>
        <w:spacing w:before="0" w:beforeAutospacing="0" w:after="0" w:afterAutospacing="0" w:line="240" w:lineRule="auto"/>
        <w:jc w:val="both"/>
        <w:textAlignment w:val="auto"/>
        <w:rPr>
          <w:rFonts w:hint="eastAsia" w:ascii="方正小标宋简体" w:eastAsia="方正小标宋简体"/>
          <w:color w:val="000000" w:themeColor="text1"/>
          <w:spacing w:val="-12"/>
          <w:sz w:val="44"/>
          <w:szCs w:val="44"/>
          <w:u w:val="none"/>
          <w14:textFill>
            <w14:solidFill>
              <w14:schemeClr w14:val="tx1"/>
            </w14:solidFill>
          </w14:textFill>
        </w:rPr>
      </w:pPr>
    </w:p>
    <w:p>
      <w:pPr>
        <w:pStyle w:val="7"/>
        <w:keepNext w:val="0"/>
        <w:keepLines w:val="0"/>
        <w:pageBreakBefore w:val="0"/>
        <w:widowControl/>
        <w:kinsoku/>
        <w:wordWrap w:val="0"/>
        <w:overflowPunct/>
        <w:topLinePunct w:val="0"/>
        <w:autoSpaceDE/>
        <w:bidi w:val="0"/>
        <w:snapToGrid/>
        <w:spacing w:before="0" w:beforeAutospacing="0" w:after="0" w:afterAutospacing="0" w:line="240" w:lineRule="auto"/>
        <w:ind w:firstLine="640"/>
        <w:jc w:val="both"/>
        <w:textAlignment w:val="auto"/>
        <w:rPr>
          <w:rFonts w:hint="default" w:ascii="黑体" w:hAnsi="黑体" w:eastAsia="黑体" w:cs="仿宋_GB2312"/>
          <w:color w:val="auto"/>
          <w:kern w:val="2"/>
          <w:sz w:val="32"/>
          <w:szCs w:val="32"/>
          <w:u w:val="none"/>
          <w:lang w:val="en-US" w:eastAsia="zh-CN" w:bidi="ar-SA"/>
        </w:rPr>
      </w:pPr>
      <w:r>
        <w:rPr>
          <w:rFonts w:hint="eastAsia" w:eastAsia="黑体" w:cs="黑体"/>
          <w:color w:val="000000" w:themeColor="text1"/>
          <w:kern w:val="2"/>
          <w:sz w:val="32"/>
          <w:szCs w:val="32"/>
          <w:u w:val="none"/>
          <w:lang w:val="en-US" w:eastAsia="zh-CN" w:bidi="ar-SA"/>
          <w14:textFill>
            <w14:solidFill>
              <w14:schemeClr w14:val="tx1"/>
            </w14:solidFill>
          </w14:textFill>
        </w:rPr>
        <w:t>一、</w:t>
      </w:r>
      <w:r>
        <w:rPr>
          <w:rFonts w:hint="eastAsia" w:ascii="黑体" w:hAnsi="黑体" w:eastAsia="黑体" w:cs="仿宋_GB2312"/>
          <w:color w:val="auto"/>
          <w:kern w:val="2"/>
          <w:sz w:val="32"/>
          <w:szCs w:val="32"/>
          <w:u w:val="none"/>
          <w:lang w:val="en-US" w:eastAsia="zh-CN" w:bidi="ar-SA"/>
        </w:rPr>
        <w:t>腐霉利</w:t>
      </w:r>
    </w:p>
    <w:p>
      <w:pPr>
        <w:pStyle w:val="7"/>
        <w:keepNext w:val="0"/>
        <w:keepLines w:val="0"/>
        <w:pageBreakBefore w:val="0"/>
        <w:widowControl/>
        <w:kinsoku/>
        <w:wordWrap w:val="0"/>
        <w:overflowPunct/>
        <w:topLinePunct w:val="0"/>
        <w:autoSpaceDE/>
        <w:bidi w:val="0"/>
        <w:snapToGrid/>
        <w:spacing w:before="0" w:beforeAutospacing="0" w:after="0" w:afterAutospacing="0" w:line="240" w:lineRule="auto"/>
        <w:ind w:firstLine="640" w:firstLineChars="200"/>
        <w:jc w:val="both"/>
        <w:textAlignment w:val="auto"/>
        <w:rPr>
          <w:rFonts w:hint="eastAsia" w:ascii="仿宋" w:hAnsi="仿宋" w:eastAsia="仿宋" w:cs="仿宋"/>
          <w:color w:val="000000" w:themeColor="text1"/>
          <w:kern w:val="2"/>
          <w:sz w:val="32"/>
          <w:szCs w:val="32"/>
          <w:u w:val="none"/>
          <w:lang w:val="en-US" w:eastAsia="zh-CN" w:bidi="ar-SA"/>
          <w14:textFill>
            <w14:solidFill>
              <w14:schemeClr w14:val="tx1"/>
            </w14:solidFill>
          </w14:textFill>
        </w:rPr>
      </w:pPr>
      <w:r>
        <w:rPr>
          <w:rFonts w:hint="eastAsia" w:ascii="仿宋_GB2312" w:hAnsi="仿宋_GB2312" w:eastAsia="仿宋_GB2312" w:cs="仿宋_GB2312"/>
          <w:color w:val="auto"/>
          <w:kern w:val="2"/>
          <w:sz w:val="32"/>
          <w:szCs w:val="32"/>
          <w:u w:val="none"/>
          <w:lang w:val="en-US" w:eastAsia="zh-CN" w:bidi="ar-SA"/>
        </w:rPr>
        <w:t>腐霉利是一种杀菌剂，兼具保护和治疗作用，可用于防治黄瓜、茄子、番茄、洋葱等的灰霉病，莴苣、辣椒的茎腐病，油菜菌核病等。《食品安全国家标准 食品中农药最大残留限量》（GB 2763—2021）中规定，韭菜中腐霉利的最大残留限量为0.2mg/kg。</w:t>
      </w:r>
    </w:p>
    <w:p>
      <w:pPr>
        <w:keepNext w:val="0"/>
        <w:keepLines w:val="0"/>
        <w:pageBreakBefore w:val="0"/>
        <w:kinsoku/>
        <w:overflowPunct/>
        <w:topLinePunct w:val="0"/>
        <w:autoSpaceDE/>
        <w:bidi w:val="0"/>
        <w:snapToGrid/>
        <w:spacing w:line="240" w:lineRule="auto"/>
        <w:ind w:firstLine="640" w:firstLineChars="200"/>
        <w:jc w:val="both"/>
        <w:textAlignment w:val="auto"/>
        <w:rPr>
          <w:rFonts w:ascii="黑体" w:hAnsi="黑体" w:eastAsia="黑体"/>
          <w:spacing w:val="-12"/>
          <w:sz w:val="32"/>
          <w:szCs w:val="32"/>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二、</w:t>
      </w:r>
      <w:r>
        <w:rPr>
          <w:rFonts w:hint="eastAsia" w:ascii="黑体" w:hAnsi="黑体" w:eastAsia="黑体"/>
          <w:spacing w:val="-12"/>
          <w:sz w:val="32"/>
          <w:szCs w:val="32"/>
        </w:rPr>
        <w:t>铅（以Pb计）</w:t>
      </w:r>
    </w:p>
    <w:p>
      <w:pPr>
        <w:pStyle w:val="7"/>
        <w:keepNext w:val="0"/>
        <w:keepLines w:val="0"/>
        <w:pageBreakBefore w:val="0"/>
        <w:widowControl/>
        <w:kinsoku/>
        <w:overflowPunct/>
        <w:topLinePunct w:val="0"/>
        <w:autoSpaceDE/>
        <w:bidi w:val="0"/>
        <w:adjustRightInd w:val="0"/>
        <w:snapToGrid/>
        <w:spacing w:before="0" w:beforeAutospacing="0" w:after="0" w:afterAutospacing="0" w:line="240" w:lineRule="auto"/>
        <w:ind w:firstLine="640" w:firstLineChars="200"/>
        <w:jc w:val="both"/>
        <w:textAlignment w:val="auto"/>
        <w:rPr>
          <w:rFonts w:hint="eastAsia" w:ascii="仿宋_GB2312" w:hAnsi="仿宋_GB2312" w:eastAsia="仿宋_GB2312" w:cs="仿宋_GB2312"/>
          <w:color w:val="000000" w:themeColor="text1"/>
          <w:kern w:val="2"/>
          <w:sz w:val="32"/>
          <w:szCs w:val="32"/>
          <w:u w:val="none"/>
          <w:lang w:val="en-US" w:eastAsia="zh-CN"/>
          <w14:textFill>
            <w14:solidFill>
              <w14:schemeClr w14:val="tx1"/>
            </w14:solidFill>
          </w14:textFill>
        </w:rPr>
      </w:pPr>
      <w:r>
        <w:rPr>
          <w:rFonts w:hint="eastAsia" w:ascii="仿宋" w:hAnsi="仿宋" w:eastAsia="仿宋" w:cs="仿宋_GB2312"/>
          <w:color w:val="auto"/>
          <w:kern w:val="2"/>
          <w:sz w:val="32"/>
          <w:szCs w:val="32"/>
          <w:u w:val="none"/>
          <w:lang w:val="en-US" w:eastAsia="zh-CN" w:bidi="ar-SA"/>
        </w:rPr>
        <w:t>铅是一种能够在生物体内蓄积且排除缓慢的重金属污染物。铅超标的原因，可能是企业在生产时未对原料进行严格验收或为降低产品成本而采用劣质原料，导致生产原料或辅料中的铅带入；也可能是在食品生产加工过程中，加工设备、容器、包装材料中的铅迁移带入食品。</w:t>
      </w:r>
      <w:bookmarkStart w:id="0" w:name="_GoBack"/>
      <w:bookmarkEnd w:id="0"/>
    </w:p>
    <w:p>
      <w:pPr>
        <w:pStyle w:val="7"/>
        <w:keepNext w:val="0"/>
        <w:keepLines w:val="0"/>
        <w:pageBreakBefore w:val="0"/>
        <w:widowControl/>
        <w:kinsoku/>
        <w:wordWrap w:val="0"/>
        <w:overflowPunct/>
        <w:topLinePunct w:val="0"/>
        <w:autoSpaceDE/>
        <w:bidi w:val="0"/>
        <w:snapToGrid/>
        <w:spacing w:before="0" w:beforeLines="0" w:beforeAutospacing="0" w:after="0" w:afterLines="0" w:afterAutospacing="0" w:line="600" w:lineRule="exact"/>
        <w:ind w:firstLine="640" w:firstLineChars="200"/>
        <w:textAlignment w:val="auto"/>
        <w:rPr>
          <w:rFonts w:hint="eastAsia" w:ascii="黑体" w:hAnsi="黑体" w:eastAsia="黑体" w:cs="仿宋_GB2312"/>
          <w:color w:val="auto"/>
          <w:kern w:val="2"/>
          <w:sz w:val="32"/>
          <w:szCs w:val="32"/>
          <w:u w:val="none"/>
        </w:rPr>
      </w:pPr>
      <w:r>
        <w:rPr>
          <w:rFonts w:hint="eastAsia" w:ascii="黑体" w:hAnsi="黑体" w:eastAsia="黑体" w:cs="仿宋_GB2312"/>
          <w:color w:val="auto"/>
          <w:kern w:val="2"/>
          <w:sz w:val="32"/>
          <w:szCs w:val="32"/>
          <w:u w:val="none"/>
          <w:lang w:val="en-US" w:eastAsia="zh-CN"/>
        </w:rPr>
        <w:t>三、</w:t>
      </w:r>
      <w:r>
        <w:rPr>
          <w:rFonts w:hint="eastAsia" w:ascii="黑体" w:hAnsi="黑体" w:eastAsia="黑体" w:cs="仿宋_GB2312"/>
          <w:color w:val="auto"/>
          <w:kern w:val="2"/>
          <w:sz w:val="32"/>
          <w:szCs w:val="32"/>
          <w:u w:val="none"/>
        </w:rPr>
        <w:t>菌落总数</w:t>
      </w:r>
    </w:p>
    <w:p>
      <w:pPr>
        <w:keepNext w:val="0"/>
        <w:keepLines w:val="0"/>
        <w:pageBreakBefore w:val="0"/>
        <w:widowControl/>
        <w:suppressLineNumbers w:val="0"/>
        <w:kinsoku/>
        <w:overflowPunct/>
        <w:topLinePunct w:val="0"/>
        <w:autoSpaceDE/>
        <w:bidi w:val="0"/>
        <w:snapToGrid/>
        <w:spacing w:line="600" w:lineRule="exact"/>
        <w:ind w:firstLine="640" w:firstLineChars="200"/>
        <w:jc w:val="left"/>
        <w:textAlignment w:val="auto"/>
        <w:rPr>
          <w:rFonts w:hint="eastAsia" w:ascii="仿宋" w:hAnsi="仿宋" w:eastAsia="仿宋" w:cs="仿宋"/>
          <w:color w:val="auto"/>
          <w:kern w:val="2"/>
          <w:sz w:val="32"/>
          <w:szCs w:val="32"/>
          <w:u w:val="none"/>
          <w:lang w:val="en-US" w:eastAsia="zh-CN" w:bidi="ar-SA"/>
        </w:rPr>
      </w:pPr>
      <w:r>
        <w:rPr>
          <w:rFonts w:hint="eastAsia" w:ascii="仿宋_GB2312" w:hAnsi="仿宋_GB2312" w:eastAsia="仿宋_GB2312" w:cs="仿宋_GB2312"/>
          <w:color w:val="000000"/>
          <w:kern w:val="2"/>
          <w:sz w:val="32"/>
          <w:szCs w:val="32"/>
          <w:u w:val="none"/>
          <w:lang w:val="en-US" w:eastAsia="zh-CN" w:bidi="ar-SA"/>
        </w:rPr>
        <w:t>菌落总数是指示性微生物指标，用以反映食品的卫生状况。超标原因可能是生产企业所使用的原辅料初始菌落数较高；也可能是生产加工过程中卫生条件控制不严格；还可能与产品包装密封不严、储运条件控制不当等有关。</w:t>
      </w:r>
    </w:p>
    <w:p>
      <w:pPr>
        <w:wordWrap w:val="0"/>
        <w:autoSpaceDN w:val="0"/>
        <w:spacing w:line="480" w:lineRule="auto"/>
        <w:ind w:firstLine="627" w:firstLineChars="196"/>
        <w:jc w:val="left"/>
        <w:rPr>
          <w:rFonts w:hint="eastAsia" w:ascii="黑体" w:hAnsi="黑体" w:eastAsia="黑体" w:cs="仿宋_GB2312"/>
          <w:color w:val="000000" w:themeColor="text1"/>
          <w:kern w:val="2"/>
          <w:sz w:val="32"/>
          <w:szCs w:val="32"/>
          <w:u w:val="none"/>
          <w:lang w:val="en-US" w:eastAsia="zh-CN"/>
          <w14:textFill>
            <w14:solidFill>
              <w14:schemeClr w14:val="tx1"/>
            </w14:solidFill>
          </w14:textFill>
        </w:rPr>
      </w:pPr>
      <w:r>
        <w:rPr>
          <w:rFonts w:hint="eastAsia" w:ascii="黑体" w:hAnsi="黑体" w:eastAsia="黑体" w:cs="仿宋_GB2312"/>
          <w:color w:val="000000" w:themeColor="text1"/>
          <w:kern w:val="2"/>
          <w:sz w:val="32"/>
          <w:szCs w:val="32"/>
          <w:u w:val="none"/>
          <w:lang w:val="en-US" w:eastAsia="zh-CN"/>
          <w14:textFill>
            <w14:solidFill>
              <w14:schemeClr w14:val="tx1"/>
            </w14:solidFill>
          </w14:textFill>
        </w:rPr>
        <w:t>四、大肠菌群</w:t>
      </w:r>
    </w:p>
    <w:p>
      <w:pPr>
        <w:numPr>
          <w:ilvl w:val="0"/>
          <w:numId w:val="0"/>
        </w:numPr>
        <w:spacing w:line="600" w:lineRule="exact"/>
        <w:ind w:firstLine="640" w:firstLineChars="200"/>
        <w:rPr>
          <w:rFonts w:hint="default" w:ascii="仿宋" w:hAnsi="仿宋" w:eastAsia="仿宋" w:cs="仿宋_GB2312"/>
          <w:color w:val="auto"/>
          <w:kern w:val="2"/>
          <w:sz w:val="32"/>
          <w:szCs w:val="32"/>
          <w:u w:val="none"/>
          <w:lang w:val="en-US" w:eastAsia="zh-CN" w:bidi="ar-SA"/>
        </w:rPr>
      </w:pPr>
      <w:r>
        <w:rPr>
          <w:rFonts w:hint="eastAsia" w:ascii="仿宋_GB2312" w:hAnsi="仿宋_GB2312" w:eastAsia="仿宋_GB2312" w:cs="仿宋_GB2312"/>
          <w:color w:val="000000" w:themeColor="text1"/>
          <w:kern w:val="2"/>
          <w:sz w:val="32"/>
          <w:szCs w:val="32"/>
          <w:u w:val="none"/>
          <w:lang w:val="en-US" w:eastAsia="zh-CN" w:bidi="ar-SA"/>
          <w14:textFill>
            <w14:solidFill>
              <w14:schemeClr w14:val="tx1"/>
            </w14:solidFill>
          </w14:textFill>
        </w:rPr>
        <w:t>大肠菌群，是国内外通用的食品污染常用指示菌之一。检出大肠菌群，是有被致病菌(如沙门菌、志贺菌、致病性大肠杆菌)污染的可能。大肠菌群超标的原因可能是由于产品受到了来自原料、包材、人员、设备等方面的污染，或产品储运条件不当而导致。</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仿宋_GB2312"/>
    <w:panose1 w:val="02010601030101010101"/>
    <w:charset w:val="86"/>
    <w:family w:val="roman"/>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RkMzExMGFjNGI3MGU0NmMxMTA3NmIzOWNmMWZkMzgifQ=="/>
  </w:docVars>
  <w:rsids>
    <w:rsidRoot w:val="0C8C4767"/>
    <w:rsid w:val="02D4355F"/>
    <w:rsid w:val="051C7148"/>
    <w:rsid w:val="06D74455"/>
    <w:rsid w:val="08123F6F"/>
    <w:rsid w:val="0B45380D"/>
    <w:rsid w:val="0BA40294"/>
    <w:rsid w:val="0C8C4767"/>
    <w:rsid w:val="15EC594F"/>
    <w:rsid w:val="168C6AE4"/>
    <w:rsid w:val="17677D3A"/>
    <w:rsid w:val="1924456A"/>
    <w:rsid w:val="193E766E"/>
    <w:rsid w:val="1A1F09D3"/>
    <w:rsid w:val="1D4213BE"/>
    <w:rsid w:val="2462067D"/>
    <w:rsid w:val="26631425"/>
    <w:rsid w:val="26DF4641"/>
    <w:rsid w:val="272354B2"/>
    <w:rsid w:val="27A95480"/>
    <w:rsid w:val="28B22DF6"/>
    <w:rsid w:val="29572E48"/>
    <w:rsid w:val="2A2D3458"/>
    <w:rsid w:val="2A8B307E"/>
    <w:rsid w:val="2BCE09B8"/>
    <w:rsid w:val="2D851703"/>
    <w:rsid w:val="2DB63420"/>
    <w:rsid w:val="332F602F"/>
    <w:rsid w:val="33775400"/>
    <w:rsid w:val="36225F84"/>
    <w:rsid w:val="3C350180"/>
    <w:rsid w:val="3CB27B7F"/>
    <w:rsid w:val="4039711A"/>
    <w:rsid w:val="42C5372B"/>
    <w:rsid w:val="435033F0"/>
    <w:rsid w:val="460D6897"/>
    <w:rsid w:val="49810C65"/>
    <w:rsid w:val="4C615739"/>
    <w:rsid w:val="4E2C5712"/>
    <w:rsid w:val="508E0988"/>
    <w:rsid w:val="50BD5E1A"/>
    <w:rsid w:val="51DB6199"/>
    <w:rsid w:val="567A47C5"/>
    <w:rsid w:val="59224657"/>
    <w:rsid w:val="593659D6"/>
    <w:rsid w:val="5C454A26"/>
    <w:rsid w:val="5D817942"/>
    <w:rsid w:val="5DC475F0"/>
    <w:rsid w:val="5E1E6906"/>
    <w:rsid w:val="5ED95286"/>
    <w:rsid w:val="5FC26101"/>
    <w:rsid w:val="60A46527"/>
    <w:rsid w:val="62393C54"/>
    <w:rsid w:val="63217256"/>
    <w:rsid w:val="65BE4C71"/>
    <w:rsid w:val="68DA55BD"/>
    <w:rsid w:val="6B3B0481"/>
    <w:rsid w:val="6CE62940"/>
    <w:rsid w:val="71D631AF"/>
    <w:rsid w:val="72B73991"/>
    <w:rsid w:val="76CB3F79"/>
    <w:rsid w:val="772D16F5"/>
    <w:rsid w:val="785415C7"/>
    <w:rsid w:val="7A935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unhideWhenUsed/>
    <w:qFormat/>
    <w:uiPriority w:val="99"/>
    <w:pPr>
      <w:ind w:firstLine="420" w:firstLineChars="200"/>
    </w:pPr>
  </w:style>
  <w:style w:type="paragraph" w:styleId="3">
    <w:name w:val="Body Text Indent"/>
    <w:basedOn w:val="1"/>
    <w:unhideWhenUsed/>
    <w:qFormat/>
    <w:uiPriority w:val="99"/>
    <w:pPr>
      <w:spacing w:after="120"/>
      <w:ind w:left="420" w:leftChars="200"/>
    </w:pPr>
    <w:rPr>
      <w:rFonts w:hAnsi="Calibri"/>
      <w:kern w:val="0"/>
      <w:szCs w:val="20"/>
    </w:rPr>
  </w:style>
  <w:style w:type="paragraph" w:styleId="4">
    <w:name w:val="Normal Indent"/>
    <w:basedOn w:val="1"/>
    <w:qFormat/>
    <w:uiPriority w:val="0"/>
    <w:pPr>
      <w:ind w:firstLine="420"/>
    </w:pPr>
    <w:rPr>
      <w:rFonts w:ascii="Times New Roman" w:hAnsi="Times New Roman" w:cs="Times New Roman"/>
      <w:szCs w:val="20"/>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100" w:beforeLines="0" w:beforeAutospacing="1" w:after="100" w:afterLines="0" w:afterAutospacing="1"/>
      <w:ind w:left="0" w:right="0"/>
      <w:jc w:val="left"/>
    </w:pPr>
    <w:rPr>
      <w:color w:val="CC0000"/>
      <w:kern w:val="0"/>
      <w:sz w:val="24"/>
      <w:u w:val="single"/>
      <w:lang w:val="en-US" w:eastAsia="zh-CN" w:bidi="ar-SA"/>
    </w:rPr>
  </w:style>
  <w:style w:type="character" w:styleId="10">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2629</Words>
  <Characters>2709</Characters>
  <Lines>0</Lines>
  <Paragraphs>0</Paragraphs>
  <TotalTime>0</TotalTime>
  <ScaleCrop>false</ScaleCrop>
  <LinksUpToDate>false</LinksUpToDate>
  <CharactersWithSpaces>2724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2021-11-08T06:11:00Z</dcterms:created>
  <dc:creator>anshenghui</dc:creator>
  <cp:lastModifiedBy>miu</cp:lastModifiedBy>
  <cp:lastPrinted>2021-11-08T09:23:00Z</cp:lastPrinted>
  <dcterms:modified xsi:type="dcterms:W3CDTF">2023-01-03T02:23:05Z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59C52D3E5ED14B2AAC34DFF374B5170D</vt:lpwstr>
  </property>
</Properties>
</file>