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简体" w:hAnsi="方正小标宋简体" w:eastAsia="方正小标宋简体" w:cs="方正小标宋简体"/>
          <w:sz w:val="44"/>
          <w:szCs w:val="44"/>
          <w:lang w:val="en-US" w:eastAsia="zh-Hans"/>
        </w:rPr>
      </w:pPr>
    </w:p>
    <w:p>
      <w:pPr>
        <w:keepNext w:val="0"/>
        <w:keepLines w:val="0"/>
        <w:pageBreakBefore w:val="0"/>
        <w:kinsoku/>
        <w:wordWrap/>
        <w:overflowPunct/>
        <w:topLinePunct w:val="0"/>
        <w:bidi w:val="0"/>
        <w:adjustRightInd/>
        <w:snapToGrid/>
        <w:spacing w:line="560" w:lineRule="exact"/>
        <w:ind w:right="0" w:rightChars="0"/>
        <w:jc w:val="center"/>
        <w:textAlignment w:val="auto"/>
        <w:rPr>
          <w:rFonts w:hint="default"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val="en-US" w:eastAsia="zh-Hans"/>
        </w:rPr>
        <w:t>关于</w:t>
      </w:r>
      <w:bookmarkStart w:id="0" w:name="_GoBack"/>
      <w:r>
        <w:rPr>
          <w:rFonts w:hint="eastAsia" w:ascii="方正小标宋简体" w:hAnsi="方正小标宋简体" w:eastAsia="方正小标宋简体" w:cs="方正小标宋简体"/>
          <w:sz w:val="44"/>
          <w:szCs w:val="44"/>
          <w:lang w:val="en-US" w:eastAsia="zh-Hans"/>
        </w:rPr>
        <w:t>公开征求</w:t>
      </w:r>
      <w:bookmarkEnd w:id="0"/>
      <w:r>
        <w:rPr>
          <w:rFonts w:hint="default" w:ascii="方正小标宋简体" w:hAnsi="方正小标宋简体" w:eastAsia="方正小标宋简体" w:cs="方正小标宋简体"/>
          <w:sz w:val="44"/>
          <w:szCs w:val="44"/>
          <w:lang w:eastAsia="zh-Hans"/>
        </w:rPr>
        <w:t>《</w:t>
      </w:r>
      <w:r>
        <w:rPr>
          <w:rFonts w:hint="eastAsia" w:ascii="方正小标宋简体" w:hAnsi="方正小标宋简体" w:eastAsia="方正小标宋简体" w:cs="方正小标宋简体"/>
          <w:sz w:val="44"/>
          <w:szCs w:val="44"/>
          <w:lang w:val="en-US" w:eastAsia="zh-CN"/>
        </w:rPr>
        <w:t>新疆维吾尔自治区农作物种质资源库(圃)管理规范</w:t>
      </w:r>
      <w:r>
        <w:rPr>
          <w:rFonts w:hint="default"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lang w:val="en-US" w:eastAsia="zh-Hans"/>
        </w:rPr>
        <w:t>征求意见稿</w:t>
      </w:r>
      <w:r>
        <w:rPr>
          <w:rFonts w:hint="default" w:ascii="方正小标宋简体" w:hAnsi="方正小标宋简体" w:eastAsia="方正小标宋简体" w:cs="方正小标宋简体"/>
          <w:sz w:val="44"/>
          <w:szCs w:val="44"/>
          <w:lang w:eastAsia="zh-CN"/>
        </w:rPr>
        <w:t>）</w:t>
      </w:r>
      <w:r>
        <w:rPr>
          <w:rFonts w:hint="default" w:ascii="方正小标宋简体" w:hAnsi="方正小标宋简体" w:eastAsia="方正小标宋简体" w:cs="方正小标宋简体"/>
          <w:sz w:val="44"/>
          <w:szCs w:val="44"/>
          <w:lang w:eastAsia="zh-CN"/>
        </w:rPr>
        <w:t>》</w:t>
      </w:r>
    </w:p>
    <w:p>
      <w:pPr>
        <w:keepNext w:val="0"/>
        <w:keepLines w:val="0"/>
        <w:pageBreakBefore w:val="0"/>
        <w:kinsoku/>
        <w:wordWrap/>
        <w:overflowPunct/>
        <w:topLinePunct w:val="0"/>
        <w:bidi w:val="0"/>
        <w:adjustRightInd/>
        <w:snapToGrid/>
        <w:spacing w:line="560" w:lineRule="exact"/>
        <w:ind w:right="0" w:rightChars="0"/>
        <w:jc w:val="center"/>
        <w:textAlignment w:val="auto"/>
        <w:rPr>
          <w:rFonts w:hint="eastAsia"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lang w:val="en-US" w:eastAsia="zh-Hans"/>
        </w:rPr>
        <w:t>意见的公告</w:t>
      </w:r>
    </w:p>
    <w:p>
      <w:pPr>
        <w:pStyle w:val="12"/>
        <w:rPr>
          <w:rFonts w:hint="eastAsia"/>
          <w:lang w:val="en-US" w:eastAsia="zh-Hans"/>
        </w:rPr>
      </w:pP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Style w:val="13"/>
          <w:rFonts w:hint="default" w:ascii="Times New Roman Regular" w:hAnsi="Times New Roman Regular" w:eastAsia="仿宋_GB2312" w:cs="Times New Roman Regular"/>
          <w:color w:val="000000"/>
          <w:kern w:val="0"/>
          <w:sz w:val="32"/>
          <w:szCs w:val="32"/>
          <w:lang w:eastAsia="zh-Hans"/>
        </w:rPr>
      </w:pPr>
      <w:r>
        <w:rPr>
          <w:rFonts w:hint="default" w:ascii="Times New Roman Regular" w:hAnsi="Times New Roman Regular" w:eastAsia="仿宋_GB2312" w:cs="Times New Roman Regular"/>
          <w:kern w:val="0"/>
          <w:sz w:val="32"/>
          <w:szCs w:val="32"/>
        </w:rPr>
        <w:t>为加强新疆维吾尔自治区农作物种质资源保护和利用，规范种质资源库（圃）建设和管理，</w:t>
      </w:r>
      <w:r>
        <w:rPr>
          <w:rFonts w:hint="default" w:ascii="Times New Roman Regular" w:hAnsi="Times New Roman Regular" w:eastAsia="仿宋_GB2312" w:cs="Times New Roman Regular"/>
          <w:kern w:val="0"/>
          <w:sz w:val="32"/>
          <w:szCs w:val="32"/>
          <w:lang w:val="en-US" w:eastAsia="zh-CN"/>
        </w:rPr>
        <w:t>认真落实</w:t>
      </w:r>
      <w:r>
        <w:rPr>
          <w:rFonts w:hint="default" w:ascii="Times New Roman Regular" w:hAnsi="Times New Roman Regular" w:eastAsia="仿宋_GB2312" w:cs="Times New Roman Regular"/>
          <w:kern w:val="0"/>
          <w:sz w:val="32"/>
          <w:szCs w:val="32"/>
        </w:rPr>
        <w:t>《中华人民共和国种子法》《国务院办公厅关于加强农业种质资源保护与利用的意见》《农作物种质资源管理办法》《国家级农作物种质资源库（圃）管理规范》</w:t>
      </w:r>
      <w:r>
        <w:rPr>
          <w:rFonts w:hint="default" w:ascii="Times New Roman Regular" w:hAnsi="Times New Roman Regular" w:eastAsia="仿宋_GB2312" w:cs="Times New Roman Regular"/>
          <w:kern w:val="0"/>
          <w:sz w:val="32"/>
          <w:szCs w:val="32"/>
          <w:lang w:eastAsia="zh-CN"/>
        </w:rPr>
        <w:t>等</w:t>
      </w:r>
      <w:r>
        <w:rPr>
          <w:rFonts w:hint="default" w:ascii="Times New Roman Regular" w:hAnsi="Times New Roman Regular" w:eastAsia="仿宋_GB2312" w:cs="Times New Roman Regular"/>
          <w:kern w:val="0"/>
          <w:sz w:val="32"/>
          <w:szCs w:val="32"/>
          <w:lang w:val="en-US" w:eastAsia="zh-CN"/>
        </w:rPr>
        <w:t>工作部署</w:t>
      </w:r>
      <w:r>
        <w:rPr>
          <w:rFonts w:hint="default" w:ascii="Times New Roman Regular" w:hAnsi="Times New Roman Regular" w:eastAsia="仿宋_GB2312" w:cs="Times New Roman Regular"/>
          <w:kern w:val="0"/>
          <w:sz w:val="32"/>
          <w:szCs w:val="32"/>
          <w:lang w:eastAsia="zh-CN"/>
        </w:rPr>
        <w:t>，</w:t>
      </w:r>
      <w:r>
        <w:rPr>
          <w:rStyle w:val="13"/>
          <w:rFonts w:hint="default" w:ascii="Times New Roman Regular" w:hAnsi="Times New Roman Regular" w:eastAsia="仿宋_GB2312" w:cs="Times New Roman Regular"/>
          <w:color w:val="000000"/>
          <w:kern w:val="0"/>
          <w:sz w:val="32"/>
          <w:szCs w:val="32"/>
          <w:lang w:val="en-US" w:eastAsia="zh-CN"/>
        </w:rPr>
        <w:t>自治区</w:t>
      </w:r>
      <w:r>
        <w:rPr>
          <w:rStyle w:val="13"/>
          <w:rFonts w:hint="default" w:ascii="Times New Roman Regular" w:hAnsi="Times New Roman Regular" w:eastAsia="仿宋_GB2312" w:cs="Times New Roman Regular"/>
          <w:color w:val="000000"/>
          <w:kern w:val="0"/>
          <w:sz w:val="32"/>
          <w:szCs w:val="32"/>
          <w:lang w:val="en-US" w:eastAsia="zh-Hans"/>
        </w:rPr>
        <w:t>农业农村厅结合我区实际</w:t>
      </w:r>
      <w:r>
        <w:rPr>
          <w:rStyle w:val="13"/>
          <w:rFonts w:hint="default" w:ascii="Times New Roman Regular" w:hAnsi="Times New Roman Regular" w:eastAsia="仿宋_GB2312" w:cs="Times New Roman Regular"/>
          <w:color w:val="000000"/>
          <w:kern w:val="0"/>
          <w:sz w:val="32"/>
          <w:szCs w:val="32"/>
          <w:lang w:eastAsia="zh-Hans"/>
        </w:rPr>
        <w:t>，</w:t>
      </w:r>
      <w:r>
        <w:rPr>
          <w:rStyle w:val="13"/>
          <w:rFonts w:hint="default" w:ascii="Times New Roman Regular" w:hAnsi="Times New Roman Regular" w:eastAsia="仿宋_GB2312" w:cs="Times New Roman Regular"/>
          <w:color w:val="000000"/>
          <w:kern w:val="0"/>
          <w:sz w:val="32"/>
          <w:szCs w:val="32"/>
          <w:lang w:val="en-US" w:eastAsia="zh-Hans"/>
        </w:rPr>
        <w:t>起草</w:t>
      </w:r>
      <w:r>
        <w:rPr>
          <w:rFonts w:hint="default" w:ascii="Times New Roman Regular" w:hAnsi="Times New Roman Regular" w:eastAsia="仿宋_GB2312" w:cs="Times New Roman Regular"/>
          <w:kern w:val="0"/>
          <w:sz w:val="32"/>
          <w:szCs w:val="32"/>
          <w:lang w:eastAsia="zh-CN"/>
        </w:rPr>
        <w:t>了</w:t>
      </w:r>
      <w:r>
        <w:rPr>
          <w:rFonts w:hint="default" w:ascii="Times New Roman Regular" w:hAnsi="Times New Roman Regular" w:eastAsia="仿宋_GB2312" w:cs="Times New Roman Regular"/>
          <w:kern w:val="0"/>
          <w:sz w:val="32"/>
          <w:szCs w:val="32"/>
          <w:lang w:val="en-US" w:eastAsia="zh-CN"/>
        </w:rPr>
        <w:t>《</w:t>
      </w:r>
      <w:r>
        <w:rPr>
          <w:rFonts w:hint="default" w:ascii="Times New Roman Regular" w:hAnsi="Times New Roman Regular" w:eastAsia="仿宋_GB2312" w:cs="Times New Roman Regular"/>
          <w:kern w:val="0"/>
          <w:sz w:val="32"/>
          <w:szCs w:val="32"/>
        </w:rPr>
        <w:t>新疆维吾尔自治区农作物种质资源库（圃）管理规范</w:t>
      </w:r>
      <w:r>
        <w:rPr>
          <w:rFonts w:hint="default" w:ascii="Times New Roman Regular" w:hAnsi="Times New Roman Regular" w:eastAsia="仿宋_GB2312" w:cs="Times New Roman Regular"/>
          <w:kern w:val="0"/>
          <w:sz w:val="32"/>
          <w:szCs w:val="32"/>
        </w:rPr>
        <w:t>（</w:t>
      </w:r>
      <w:r>
        <w:rPr>
          <w:rStyle w:val="13"/>
          <w:rFonts w:hint="default" w:ascii="Times New Roman Regular" w:hAnsi="Times New Roman Regular" w:eastAsia="仿宋_GB2312" w:cs="Times New Roman Regular"/>
          <w:color w:val="000000"/>
          <w:kern w:val="0"/>
          <w:sz w:val="32"/>
          <w:szCs w:val="32"/>
          <w:lang w:val="en-US" w:eastAsia="zh-CN"/>
        </w:rPr>
        <w:t>征求意见稿</w:t>
      </w:r>
      <w:r>
        <w:rPr>
          <w:rFonts w:hint="default" w:ascii="Times New Roman Regular" w:hAnsi="Times New Roman Regular" w:eastAsia="仿宋_GB2312" w:cs="Times New Roman Regular"/>
          <w:kern w:val="0"/>
          <w:sz w:val="32"/>
          <w:szCs w:val="32"/>
        </w:rPr>
        <w:t>）</w:t>
      </w:r>
      <w:r>
        <w:rPr>
          <w:rFonts w:hint="default" w:ascii="Times New Roman Regular" w:hAnsi="Times New Roman Regular" w:eastAsia="仿宋_GB2312" w:cs="Times New Roman Regular"/>
          <w:kern w:val="0"/>
          <w:sz w:val="32"/>
          <w:szCs w:val="32"/>
          <w:lang w:eastAsia="zh-CN"/>
        </w:rPr>
        <w:t>》</w:t>
      </w:r>
      <w:r>
        <w:rPr>
          <w:rFonts w:hint="default" w:ascii="Times New Roman Regular" w:hAnsi="Times New Roman Regular" w:eastAsia="仿宋_GB2312" w:cs="Times New Roman Regular"/>
          <w:kern w:val="0"/>
          <w:sz w:val="32"/>
          <w:szCs w:val="32"/>
          <w:lang w:eastAsia="zh-CN"/>
        </w:rPr>
        <w:t>，</w:t>
      </w:r>
      <w:r>
        <w:rPr>
          <w:rStyle w:val="13"/>
          <w:rFonts w:hint="default" w:ascii="Times New Roman Regular" w:hAnsi="Times New Roman Regular" w:eastAsia="仿宋_GB2312" w:cs="Times New Roman Regular"/>
          <w:color w:val="000000"/>
          <w:kern w:val="0"/>
          <w:sz w:val="32"/>
          <w:szCs w:val="32"/>
          <w:lang w:val="en-US" w:eastAsia="zh-Hans"/>
        </w:rPr>
        <w:t>前期征求了自治区相关部门</w:t>
      </w:r>
      <w:r>
        <w:rPr>
          <w:rStyle w:val="13"/>
          <w:rFonts w:hint="default" w:ascii="Times New Roman Regular" w:hAnsi="Times New Roman Regular" w:eastAsia="仿宋_GB2312" w:cs="Times New Roman Regular"/>
          <w:color w:val="000000"/>
          <w:kern w:val="0"/>
          <w:sz w:val="32"/>
          <w:szCs w:val="32"/>
          <w:lang w:eastAsia="zh-Hans"/>
        </w:rPr>
        <w:t>（</w:t>
      </w:r>
      <w:r>
        <w:rPr>
          <w:rStyle w:val="13"/>
          <w:rFonts w:hint="default" w:ascii="Times New Roman Regular" w:hAnsi="Times New Roman Regular" w:eastAsia="仿宋_GB2312" w:cs="Times New Roman Regular"/>
          <w:color w:val="000000"/>
          <w:kern w:val="0"/>
          <w:sz w:val="32"/>
          <w:szCs w:val="32"/>
          <w:lang w:val="en-US" w:eastAsia="zh-Hans"/>
        </w:rPr>
        <w:t>单位</w:t>
      </w:r>
      <w:r>
        <w:rPr>
          <w:rStyle w:val="13"/>
          <w:rFonts w:hint="default" w:ascii="Times New Roman Regular" w:hAnsi="Times New Roman Regular" w:eastAsia="仿宋_GB2312" w:cs="Times New Roman Regular"/>
          <w:color w:val="000000"/>
          <w:kern w:val="0"/>
          <w:sz w:val="32"/>
          <w:szCs w:val="32"/>
          <w:lang w:eastAsia="zh-Hans"/>
        </w:rPr>
        <w:t>）</w:t>
      </w:r>
      <w:r>
        <w:rPr>
          <w:rStyle w:val="13"/>
          <w:rFonts w:hint="default" w:ascii="Times New Roman Regular" w:hAnsi="Times New Roman Regular" w:eastAsia="仿宋_GB2312" w:cs="Times New Roman Regular"/>
          <w:color w:val="000000"/>
          <w:kern w:val="0"/>
          <w:sz w:val="32"/>
          <w:szCs w:val="32"/>
          <w:lang w:val="en-US" w:eastAsia="zh-Hans"/>
        </w:rPr>
        <w:t>和专家的意见和建议</w:t>
      </w:r>
      <w:r>
        <w:rPr>
          <w:rStyle w:val="13"/>
          <w:rFonts w:hint="default" w:ascii="Times New Roman Regular" w:hAnsi="Times New Roman Regular" w:eastAsia="仿宋_GB2312" w:cs="Times New Roman Regular"/>
          <w:color w:val="000000"/>
          <w:kern w:val="0"/>
          <w:sz w:val="32"/>
          <w:szCs w:val="32"/>
          <w:lang w:eastAsia="zh-Hans"/>
        </w:rPr>
        <w:t>，</w:t>
      </w:r>
      <w:r>
        <w:rPr>
          <w:rStyle w:val="13"/>
          <w:rFonts w:hint="default" w:ascii="Times New Roman Regular" w:hAnsi="Times New Roman Regular" w:eastAsia="仿宋_GB2312" w:cs="Times New Roman Regular"/>
          <w:color w:val="000000"/>
          <w:kern w:val="0"/>
          <w:sz w:val="32"/>
          <w:szCs w:val="32"/>
          <w:lang w:val="en-US" w:eastAsia="zh-Hans"/>
        </w:rPr>
        <w:t>现向社会公开征求意见</w:t>
      </w:r>
      <w:r>
        <w:rPr>
          <w:rStyle w:val="13"/>
          <w:rFonts w:hint="default" w:ascii="Times New Roman Regular" w:hAnsi="Times New Roman Regular" w:eastAsia="仿宋_GB2312" w:cs="Times New Roman Regular"/>
          <w:color w:val="000000"/>
          <w:kern w:val="0"/>
          <w:sz w:val="32"/>
          <w:szCs w:val="32"/>
          <w:lang w:eastAsia="zh-Hans"/>
        </w:rPr>
        <w:t>，</w:t>
      </w:r>
      <w:r>
        <w:rPr>
          <w:rStyle w:val="13"/>
          <w:rFonts w:hint="default" w:ascii="Times New Roman Regular" w:hAnsi="Times New Roman Regular" w:eastAsia="仿宋_GB2312" w:cs="Times New Roman Regular"/>
          <w:color w:val="000000"/>
          <w:kern w:val="0"/>
          <w:sz w:val="32"/>
          <w:szCs w:val="32"/>
          <w:lang w:val="en-US" w:eastAsia="zh-Hans"/>
        </w:rPr>
        <w:t>公众可登陆</w:t>
      </w:r>
      <w:r>
        <w:rPr>
          <w:rStyle w:val="13"/>
          <w:rFonts w:hint="eastAsia" w:ascii="Times New Roman Regular" w:hAnsi="Times New Roman Regular" w:eastAsia="仿宋_GB2312" w:cs="Times New Roman Regular"/>
          <w:color w:val="000000"/>
          <w:kern w:val="0"/>
          <w:sz w:val="32"/>
          <w:szCs w:val="32"/>
          <w:lang w:val="en-US" w:eastAsia="zh-Hans"/>
        </w:rPr>
        <w:t>“</w:t>
      </w:r>
      <w:r>
        <w:rPr>
          <w:rStyle w:val="13"/>
          <w:rFonts w:hint="default" w:ascii="Times New Roman Regular" w:hAnsi="Times New Roman Regular" w:eastAsia="仿宋_GB2312" w:cs="Times New Roman Regular"/>
          <w:color w:val="000000"/>
          <w:kern w:val="0"/>
          <w:sz w:val="32"/>
          <w:szCs w:val="32"/>
          <w:lang w:val="en-US" w:eastAsia="zh-CN"/>
        </w:rPr>
        <w:t>http://nynct.xinjiang.gov.cn/</w:t>
      </w:r>
      <w:r>
        <w:rPr>
          <w:rStyle w:val="13"/>
          <w:rFonts w:hint="eastAsia" w:ascii="Times New Roman Regular" w:hAnsi="Times New Roman Regular" w:eastAsia="仿宋_GB2312" w:cs="Times New Roman Regular"/>
          <w:color w:val="000000"/>
          <w:kern w:val="0"/>
          <w:sz w:val="32"/>
          <w:szCs w:val="32"/>
          <w:lang w:val="en-US" w:eastAsia="zh-Hans"/>
        </w:rPr>
        <w:t>”</w:t>
      </w:r>
      <w:r>
        <w:rPr>
          <w:rStyle w:val="13"/>
          <w:rFonts w:hint="default" w:ascii="Times New Roman Regular" w:hAnsi="Times New Roman Regular" w:eastAsia="仿宋_GB2312" w:cs="Times New Roman Regular"/>
          <w:color w:val="000000"/>
          <w:kern w:val="0"/>
          <w:sz w:val="32"/>
          <w:szCs w:val="32"/>
          <w:lang w:eastAsia="zh-CN"/>
        </w:rPr>
        <w:t>，</w:t>
      </w:r>
      <w:r>
        <w:rPr>
          <w:rStyle w:val="13"/>
          <w:rFonts w:hint="default" w:ascii="Times New Roman Regular" w:hAnsi="Times New Roman Regular" w:eastAsia="仿宋_GB2312" w:cs="Times New Roman Regular"/>
          <w:color w:val="000000"/>
          <w:kern w:val="0"/>
          <w:sz w:val="32"/>
          <w:szCs w:val="32"/>
          <w:lang w:val="en-US" w:eastAsia="zh-Hans"/>
        </w:rPr>
        <w:t>通过自治区农业农村厅官方网站的“通知公告”栏查询征求意见稿</w:t>
      </w:r>
      <w:r>
        <w:rPr>
          <w:rStyle w:val="13"/>
          <w:rFonts w:hint="default" w:ascii="Times New Roman Regular" w:hAnsi="Times New Roman Regular" w:eastAsia="仿宋_GB2312" w:cs="Times New Roman Regular"/>
          <w:color w:val="000000"/>
          <w:kern w:val="0"/>
          <w:sz w:val="32"/>
          <w:szCs w:val="32"/>
          <w:lang w:eastAsia="zh-Hans"/>
        </w:rPr>
        <w:t>，</w:t>
      </w:r>
      <w:r>
        <w:rPr>
          <w:rStyle w:val="13"/>
          <w:rFonts w:hint="default" w:ascii="Times New Roman Regular" w:hAnsi="Times New Roman Regular" w:eastAsia="仿宋_GB2312" w:cs="Times New Roman Regular"/>
          <w:color w:val="000000"/>
          <w:kern w:val="0"/>
          <w:sz w:val="32"/>
          <w:szCs w:val="32"/>
          <w:lang w:val="en-US" w:eastAsia="zh-Hans"/>
        </w:rPr>
        <w:t>有关意见建议可在</w:t>
      </w:r>
      <w:r>
        <w:rPr>
          <w:rStyle w:val="13"/>
          <w:rFonts w:hint="default" w:ascii="Times New Roman Regular" w:hAnsi="Times New Roman Regular" w:eastAsia="仿宋_GB2312" w:cs="Times New Roman Regular"/>
          <w:color w:val="000000"/>
          <w:kern w:val="0"/>
          <w:sz w:val="32"/>
          <w:szCs w:val="32"/>
          <w:lang w:eastAsia="zh-Hans"/>
        </w:rPr>
        <w:t>2022</w:t>
      </w:r>
      <w:r>
        <w:rPr>
          <w:rStyle w:val="13"/>
          <w:rFonts w:hint="default" w:ascii="Times New Roman Regular" w:hAnsi="Times New Roman Regular" w:eastAsia="仿宋_GB2312" w:cs="Times New Roman Regular"/>
          <w:color w:val="000000"/>
          <w:kern w:val="0"/>
          <w:sz w:val="32"/>
          <w:szCs w:val="32"/>
          <w:lang w:val="en-US" w:eastAsia="zh-Hans"/>
        </w:rPr>
        <w:t>年</w:t>
      </w:r>
      <w:r>
        <w:rPr>
          <w:rStyle w:val="13"/>
          <w:rFonts w:hint="default" w:ascii="Times New Roman Regular" w:hAnsi="Times New Roman Regular" w:eastAsia="仿宋_GB2312" w:cs="Times New Roman Regular"/>
          <w:color w:val="000000"/>
          <w:kern w:val="0"/>
          <w:sz w:val="32"/>
          <w:szCs w:val="32"/>
          <w:lang w:eastAsia="zh-Hans"/>
        </w:rPr>
        <w:t>9</w:t>
      </w:r>
      <w:r>
        <w:rPr>
          <w:rStyle w:val="13"/>
          <w:rFonts w:hint="default" w:ascii="Times New Roman Regular" w:hAnsi="Times New Roman Regular" w:eastAsia="仿宋_GB2312" w:cs="Times New Roman Regular"/>
          <w:color w:val="000000"/>
          <w:kern w:val="0"/>
          <w:sz w:val="32"/>
          <w:szCs w:val="32"/>
          <w:lang w:val="en-US" w:eastAsia="zh-Hans"/>
        </w:rPr>
        <w:t>月</w:t>
      </w:r>
      <w:r>
        <w:rPr>
          <w:rStyle w:val="13"/>
          <w:rFonts w:hint="default" w:ascii="Times New Roman Regular" w:hAnsi="Times New Roman Regular" w:eastAsia="仿宋_GB2312" w:cs="Times New Roman Regular"/>
          <w:color w:val="000000"/>
          <w:kern w:val="0"/>
          <w:sz w:val="32"/>
          <w:szCs w:val="32"/>
          <w:lang w:eastAsia="zh-Hans"/>
        </w:rPr>
        <w:t>1</w:t>
      </w:r>
      <w:r>
        <w:rPr>
          <w:rStyle w:val="13"/>
          <w:rFonts w:hint="default" w:ascii="Times New Roman Regular" w:hAnsi="Times New Roman Regular" w:eastAsia="仿宋_GB2312" w:cs="Times New Roman Regular"/>
          <w:color w:val="000000"/>
          <w:kern w:val="0"/>
          <w:sz w:val="32"/>
          <w:szCs w:val="32"/>
          <w:lang w:eastAsia="zh-Hans"/>
        </w:rPr>
        <w:t>1</w:t>
      </w:r>
      <w:r>
        <w:rPr>
          <w:rStyle w:val="13"/>
          <w:rFonts w:hint="default" w:ascii="Times New Roman Regular" w:hAnsi="Times New Roman Regular" w:eastAsia="仿宋_GB2312" w:cs="Times New Roman Regular"/>
          <w:color w:val="000000"/>
          <w:kern w:val="0"/>
          <w:sz w:val="32"/>
          <w:szCs w:val="32"/>
          <w:lang w:val="en-US" w:eastAsia="zh-Hans"/>
        </w:rPr>
        <w:t>日前通过电子邮件方式反馈至nynctzyc</w:t>
      </w:r>
      <w:r>
        <w:rPr>
          <w:rStyle w:val="13"/>
          <w:rFonts w:hint="default" w:ascii="Times New Roman Regular" w:hAnsi="Times New Roman Regular" w:eastAsia="仿宋_GB2312" w:cs="Times New Roman Regular"/>
          <w:color w:val="000000"/>
          <w:kern w:val="0"/>
          <w:sz w:val="32"/>
          <w:szCs w:val="32"/>
          <w:lang w:eastAsia="zh-Hans"/>
        </w:rPr>
        <w:t>@126</w:t>
      </w:r>
      <w:r>
        <w:rPr>
          <w:rStyle w:val="13"/>
          <w:rFonts w:hint="default" w:ascii="Times New Roman Regular" w:hAnsi="Times New Roman Regular" w:eastAsia="仿宋_GB2312" w:cs="Times New Roman Regular"/>
          <w:color w:val="000000"/>
          <w:kern w:val="0"/>
          <w:sz w:val="32"/>
          <w:szCs w:val="32"/>
          <w:lang w:val="en-US" w:eastAsia="zh-Hans"/>
        </w:rPr>
        <w:t>.com</w:t>
      </w:r>
      <w:r>
        <w:rPr>
          <w:rStyle w:val="13"/>
          <w:rFonts w:hint="default" w:ascii="Times New Roman Regular" w:hAnsi="Times New Roman Regular" w:eastAsia="仿宋_GB2312" w:cs="Times New Roman Regular"/>
          <w:color w:val="000000"/>
          <w:kern w:val="0"/>
          <w:sz w:val="32"/>
          <w:szCs w:val="32"/>
          <w:lang w:eastAsia="zh-Hans"/>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Regular" w:hAnsi="Times New Roman Regular" w:eastAsia="仿宋_GB2312" w:cs="Times New Roman Regular"/>
          <w:kern w:val="2"/>
          <w:sz w:val="32"/>
          <w:szCs w:val="32"/>
          <w:lang w:val="en-US" w:eastAsia="zh-CN" w:bidi="ar-SA"/>
        </w:rPr>
      </w:pP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Regular" w:hAnsi="Times New Roman Regular" w:eastAsia="仿宋_GB2312" w:cs="Times New Roman Regular"/>
          <w:kern w:val="0"/>
          <w:sz w:val="32"/>
          <w:szCs w:val="32"/>
          <w:lang w:val="en-US" w:eastAsia="zh-Hans"/>
        </w:rPr>
      </w:pPr>
      <w:r>
        <w:rPr>
          <w:rStyle w:val="13"/>
          <w:rFonts w:hint="default" w:ascii="仿宋_GB2312" w:hAnsi="仿宋_GB2312" w:eastAsia="仿宋_GB2312" w:cs="仿宋_GB2312"/>
          <w:color w:val="000000"/>
          <w:kern w:val="0"/>
          <w:sz w:val="32"/>
          <w:szCs w:val="32"/>
          <w:lang w:eastAsia="zh-Hans"/>
        </w:rPr>
        <w:t xml:space="preserve">                           </w:t>
      </w:r>
      <w:r>
        <w:rPr>
          <w:rFonts w:hint="eastAsia" w:ascii="Times New Roman Regular" w:hAnsi="Times New Roman Regular" w:eastAsia="仿宋_GB2312" w:cs="Times New Roman Regular"/>
          <w:kern w:val="0"/>
          <w:sz w:val="32"/>
          <w:szCs w:val="32"/>
          <w:lang w:val="en-US" w:eastAsia="zh-Hans"/>
        </w:rPr>
        <w:t>自治区农业农村厅</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Regular" w:hAnsi="Times New Roman Regular" w:eastAsia="仿宋_GB2312" w:cs="Times New Roman Regular"/>
          <w:kern w:val="0"/>
          <w:sz w:val="36"/>
          <w:szCs w:val="36"/>
          <w:lang w:val="en-US" w:eastAsia="zh-Hans"/>
        </w:rPr>
      </w:pPr>
      <w:r>
        <w:rPr>
          <w:rFonts w:hint="eastAsia" w:ascii="Times New Roman Regular" w:hAnsi="Times New Roman Regular" w:eastAsia="仿宋_GB2312" w:cs="Times New Roman Regular"/>
          <w:kern w:val="0"/>
          <w:sz w:val="32"/>
          <w:szCs w:val="32"/>
        </w:rPr>
        <w:t xml:space="preserve">                          </w:t>
      </w:r>
      <w:r>
        <w:rPr>
          <w:rFonts w:hint="default" w:ascii="Times New Roman Regular" w:hAnsi="Times New Roman Regular" w:eastAsia="仿宋_GB2312" w:cs="Times New Roman Regular"/>
          <w:kern w:val="0"/>
          <w:sz w:val="32"/>
          <w:szCs w:val="32"/>
        </w:rPr>
        <w:t xml:space="preserve"> </w:t>
      </w:r>
      <w:r>
        <w:rPr>
          <w:rFonts w:hint="default" w:ascii="Times New Roman Regular" w:hAnsi="Times New Roman Regular" w:eastAsia="仿宋_GB2312" w:cs="Times New Roman Regular"/>
          <w:kern w:val="0"/>
          <w:sz w:val="32"/>
          <w:szCs w:val="32"/>
        </w:rPr>
        <w:t xml:space="preserve"> </w:t>
      </w:r>
      <w:r>
        <w:rPr>
          <w:rFonts w:hint="eastAsia" w:ascii="Times New Roman Regular" w:hAnsi="Times New Roman Regular" w:eastAsia="仿宋_GB2312" w:cs="Times New Roman Regular"/>
          <w:kern w:val="0"/>
          <w:sz w:val="32"/>
          <w:szCs w:val="32"/>
        </w:rPr>
        <w:t>2022年</w:t>
      </w:r>
      <w:r>
        <w:rPr>
          <w:rFonts w:hint="default" w:ascii="Times New Roman Regular" w:hAnsi="Times New Roman Regular" w:eastAsia="仿宋_GB2312" w:cs="Times New Roman Regular"/>
          <w:kern w:val="0"/>
          <w:sz w:val="32"/>
          <w:szCs w:val="32"/>
        </w:rPr>
        <w:t>9</w:t>
      </w:r>
      <w:r>
        <w:rPr>
          <w:rFonts w:hint="eastAsia" w:ascii="Times New Roman Regular" w:hAnsi="Times New Roman Regular" w:eastAsia="仿宋_GB2312" w:cs="Times New Roman Regular"/>
          <w:kern w:val="0"/>
          <w:sz w:val="32"/>
          <w:szCs w:val="32"/>
        </w:rPr>
        <w:t>月</w:t>
      </w:r>
      <w:r>
        <w:rPr>
          <w:rFonts w:hint="default" w:ascii="Times New Roman Regular" w:hAnsi="Times New Roman Regular" w:eastAsia="仿宋_GB2312" w:cs="Times New Roman Regular"/>
          <w:kern w:val="0"/>
          <w:sz w:val="32"/>
          <w:szCs w:val="32"/>
        </w:rPr>
        <w:t>4</w:t>
      </w:r>
      <w:r>
        <w:rPr>
          <w:rFonts w:hint="eastAsia" w:ascii="Times New Roman Regular" w:hAnsi="Times New Roman Regular" w:eastAsia="仿宋_GB2312" w:cs="Times New Roman Regular"/>
          <w:kern w:val="0"/>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720" w:firstLineChars="200"/>
        <w:jc w:val="left"/>
        <w:textAlignment w:val="auto"/>
        <w:outlineLvl w:val="9"/>
        <w:rPr>
          <w:rFonts w:hint="eastAsia" w:ascii="Times New Roman Regular" w:hAnsi="Times New Roman Regular" w:eastAsia="仿宋_GB2312" w:cs="Times New Roman Regular"/>
          <w:kern w:val="0"/>
          <w:sz w:val="36"/>
          <w:szCs w:val="36"/>
          <w:lang w:val="en-US" w:eastAsia="zh-Hans"/>
        </w:rPr>
      </w:pPr>
    </w:p>
    <w:p>
      <w:pPr>
        <w:keepNext w:val="0"/>
        <w:keepLines w:val="0"/>
        <w:pageBreakBefore w:val="0"/>
        <w:widowControl w:val="0"/>
        <w:kinsoku/>
        <w:wordWrap/>
        <w:overflowPunct/>
        <w:topLinePunct w:val="0"/>
        <w:autoSpaceDE/>
        <w:autoSpaceDN/>
        <w:bidi w:val="0"/>
        <w:adjustRightInd/>
        <w:snapToGrid/>
        <w:spacing w:line="640" w:lineRule="exact"/>
        <w:ind w:firstLine="720" w:firstLineChars="200"/>
        <w:jc w:val="left"/>
        <w:textAlignment w:val="auto"/>
        <w:outlineLvl w:val="9"/>
        <w:rPr>
          <w:rFonts w:hint="default" w:ascii="Times New Roman Regular" w:hAnsi="Times New Roman Regular" w:eastAsia="仿宋_GB2312" w:cs="Times New Roman Regular"/>
          <w:kern w:val="0"/>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ind w:firstLine="720" w:firstLineChars="200"/>
        <w:jc w:val="left"/>
        <w:textAlignment w:val="auto"/>
        <w:outlineLvl w:val="9"/>
        <w:rPr>
          <w:rFonts w:hint="default" w:ascii="Times New Roman Regular" w:hAnsi="Times New Roman Regular" w:eastAsia="仿宋_GB2312" w:cs="Times New Roman Regular"/>
          <w:kern w:val="0"/>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ind w:firstLine="720" w:firstLineChars="200"/>
        <w:jc w:val="left"/>
        <w:textAlignment w:val="auto"/>
        <w:outlineLvl w:val="9"/>
        <w:rPr>
          <w:rFonts w:hint="default" w:ascii="Times New Roman Regular" w:hAnsi="Times New Roman Regular" w:eastAsia="仿宋_GB2312" w:cs="Times New Roman Regular"/>
          <w:kern w:val="0"/>
          <w:sz w:val="36"/>
          <w:szCs w:val="36"/>
          <w:lang w:val="en-US" w:eastAsia="zh-CN"/>
        </w:rPr>
      </w:pPr>
    </w:p>
    <w:p>
      <w:pPr>
        <w:spacing w:line="660" w:lineRule="exact"/>
        <w:jc w:val="center"/>
        <w:rPr>
          <w:rFonts w:hint="eastAsia" w:ascii="方正小标宋简体" w:hAnsi="方正小标宋简体" w:eastAsia="方正小标宋简体" w:cs="方正小标宋简体"/>
          <w:sz w:val="44"/>
          <w:szCs w:val="44"/>
        </w:rPr>
      </w:pPr>
    </w:p>
    <w:p>
      <w:pPr>
        <w:spacing w:line="6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新疆维吾尔自治区</w:t>
      </w:r>
      <w:r>
        <w:rPr>
          <w:rFonts w:hint="eastAsia" w:ascii="方正小标宋简体" w:hAnsi="方正小标宋简体" w:eastAsia="方正小标宋简体" w:cs="方正小标宋简体"/>
          <w:sz w:val="44"/>
          <w:szCs w:val="44"/>
          <w:lang w:eastAsia="zh-CN"/>
        </w:rPr>
        <w:t>级</w:t>
      </w:r>
      <w:r>
        <w:rPr>
          <w:rFonts w:hint="eastAsia" w:ascii="方正小标宋简体" w:hAnsi="方正小标宋简体" w:eastAsia="方正小标宋简体" w:cs="方正小标宋简体"/>
          <w:sz w:val="44"/>
          <w:szCs w:val="44"/>
        </w:rPr>
        <w:t>农作物种质资源库(圃)管理规范</w:t>
      </w:r>
      <w:r>
        <w:rPr>
          <w:rFonts w:hint="default" w:ascii="Times New Roman" w:hAnsi="Times New Roman" w:eastAsia="方正小标宋简体" w:cs="Times New Roman"/>
          <w:sz w:val="44"/>
          <w:szCs w:val="44"/>
          <w:highlight w:val="none"/>
          <w:lang w:val="en-US" w:eastAsia="zh-CN"/>
        </w:rPr>
        <w:t>（</w:t>
      </w:r>
      <w:r>
        <w:rPr>
          <w:rFonts w:hint="eastAsia" w:ascii="Times New Roman" w:hAnsi="Times New Roman" w:eastAsia="方正小标宋简体" w:cs="Times New Roman"/>
          <w:sz w:val="44"/>
          <w:szCs w:val="44"/>
          <w:highlight w:val="none"/>
          <w:lang w:val="en-US" w:eastAsia="zh-CN"/>
        </w:rPr>
        <w:t>征求意见稿</w:t>
      </w:r>
      <w:r>
        <w:rPr>
          <w:rFonts w:hint="default" w:ascii="Times New Roman" w:hAnsi="Times New Roman" w:eastAsia="方正小标宋简体" w:cs="Times New Roman"/>
          <w:sz w:val="44"/>
          <w:szCs w:val="44"/>
          <w:highlight w:val="none"/>
          <w:lang w:val="en-US" w:eastAsia="zh-Hans"/>
        </w:rPr>
        <w:t>）</w:t>
      </w:r>
    </w:p>
    <w:p>
      <w:pPr>
        <w:widowControl/>
        <w:spacing w:line="500" w:lineRule="exact"/>
        <w:jc w:val="center"/>
        <w:rPr>
          <w:rFonts w:ascii="华文中宋" w:hAnsi="华文中宋" w:eastAsia="华文中宋" w:cs="宋体"/>
          <w:kern w:val="0"/>
          <w:sz w:val="32"/>
          <w:szCs w:val="32"/>
        </w:rPr>
      </w:pPr>
    </w:p>
    <w:p>
      <w:pPr>
        <w:widowControl/>
        <w:spacing w:line="560" w:lineRule="exact"/>
        <w:jc w:val="center"/>
        <w:rPr>
          <w:rFonts w:ascii="宋体" w:hAnsi="宋体" w:cs="宋体"/>
          <w:b/>
          <w:bCs/>
          <w:kern w:val="0"/>
          <w:sz w:val="32"/>
          <w:szCs w:val="32"/>
        </w:rPr>
      </w:pPr>
      <w:r>
        <w:rPr>
          <w:rFonts w:hint="eastAsia" w:ascii="黑体" w:hAnsi="黑体" w:eastAsia="黑体" w:cs="黑体"/>
          <w:kern w:val="0"/>
          <w:sz w:val="32"/>
          <w:szCs w:val="32"/>
        </w:rPr>
        <w:t>第一章 总 则</w:t>
      </w:r>
    </w:p>
    <w:p>
      <w:pPr>
        <w:widowControl/>
        <w:spacing w:line="560" w:lineRule="exact"/>
        <w:ind w:firstLine="641" w:firstLineChars="200"/>
        <w:rPr>
          <w:rFonts w:hint="eastAsia" w:ascii="Times New Roman" w:hAnsi="Times New Roman" w:eastAsia="仿宋_GB2312"/>
          <w:sz w:val="32"/>
          <w:szCs w:val="32"/>
        </w:rPr>
      </w:pPr>
      <w:r>
        <w:rPr>
          <w:rFonts w:hint="eastAsia" w:ascii="Times New Roman" w:hAnsi="Times New Roman" w:eastAsia="楷体_GB2312" w:cs="楷体_GB2312"/>
          <w:b/>
          <w:sz w:val="32"/>
          <w:szCs w:val="32"/>
        </w:rPr>
        <w:t>第一条</w:t>
      </w:r>
      <w:r>
        <w:rPr>
          <w:rFonts w:hint="eastAsia" w:ascii="Times New Roman" w:hAnsi="Times New Roman" w:eastAsia="仿宋_GB2312"/>
          <w:sz w:val="32"/>
          <w:szCs w:val="32"/>
        </w:rPr>
        <w:t> 为加强自治区</w:t>
      </w:r>
      <w:r>
        <w:rPr>
          <w:rFonts w:hint="eastAsia" w:ascii="Times New Roman" w:hAnsi="Times New Roman" w:eastAsia="仿宋_GB2312" w:cs="Times New Roman"/>
          <w:sz w:val="32"/>
          <w:szCs w:val="32"/>
        </w:rPr>
        <w:t>依法保护、广泛收集、妥善保存、深入研究、积极创新、充分利用农作物种质资源，规范种质资源库（圃）建设和管理，</w:t>
      </w:r>
      <w:r>
        <w:rPr>
          <w:rFonts w:hint="eastAsia" w:ascii="Times New Roman" w:hAnsi="Times New Roman" w:eastAsia="仿宋_GB2312"/>
          <w:sz w:val="32"/>
          <w:szCs w:val="32"/>
        </w:rPr>
        <w:t>根据《中华人民共和国种子法》《国务院办公厅关于加强农业种质资源保护与利用的意见》《农作物种质资源管理办法》《国家级农作物种质资源库(圃)管理规范》等，结合自治区实际，制定本规范。</w:t>
      </w:r>
    </w:p>
    <w:p>
      <w:pPr>
        <w:widowControl/>
        <w:spacing w:line="560" w:lineRule="exact"/>
        <w:ind w:firstLine="641" w:firstLineChars="200"/>
        <w:rPr>
          <w:rFonts w:hint="eastAsia" w:ascii="Times New Roman" w:hAnsi="Times New Roman" w:eastAsia="仿宋_GB2312"/>
          <w:sz w:val="32"/>
          <w:szCs w:val="32"/>
        </w:rPr>
      </w:pPr>
      <w:r>
        <w:rPr>
          <w:rFonts w:hint="eastAsia" w:ascii="Times New Roman" w:hAnsi="Times New Roman" w:eastAsia="楷体_GB2312" w:cs="楷体_GB2312"/>
          <w:b/>
          <w:sz w:val="32"/>
          <w:szCs w:val="32"/>
        </w:rPr>
        <w:t xml:space="preserve">第二条 </w:t>
      </w:r>
      <w:r>
        <w:rPr>
          <w:rFonts w:hint="eastAsia" w:ascii="Times New Roman" w:hAnsi="Times New Roman" w:eastAsia="仿宋_GB2312"/>
          <w:sz w:val="32"/>
          <w:szCs w:val="32"/>
        </w:rPr>
        <w:t>自治区争取农作物种质资源库（圃）纳为国家级种质资源库（圃）。对未纳为国家级库（圃），依托科研院所、高等院校、企事业单位及其他社会组织等法人机构设立的</w:t>
      </w:r>
      <w:r>
        <w:rPr>
          <w:rFonts w:hint="eastAsia" w:ascii="Times New Roman" w:hAnsi="Times New Roman" w:eastAsia="仿宋_GB2312" w:cs="Times New Roman"/>
          <w:sz w:val="32"/>
          <w:szCs w:val="32"/>
          <w:lang w:val="en-US" w:eastAsia="zh-CN"/>
        </w:rPr>
        <w:t>自治区级</w:t>
      </w:r>
      <w:r>
        <w:rPr>
          <w:rFonts w:hint="eastAsia" w:ascii="Times New Roman" w:hAnsi="Times New Roman" w:eastAsia="仿宋_GB2312"/>
          <w:sz w:val="32"/>
          <w:szCs w:val="32"/>
        </w:rPr>
        <w:t>农作物种质资源库（圃）的建立确定、运行管理、考核评估等适用本规范。</w:t>
      </w:r>
    </w:p>
    <w:p>
      <w:pPr>
        <w:widowControl/>
        <w:spacing w:line="560" w:lineRule="exact"/>
        <w:ind w:firstLine="641" w:firstLineChars="200"/>
        <w:rPr>
          <w:rFonts w:hint="eastAsia" w:ascii="Times New Roman" w:hAnsi="Times New Roman" w:eastAsia="仿宋_GB2312"/>
          <w:sz w:val="32"/>
          <w:szCs w:val="32"/>
        </w:rPr>
      </w:pPr>
      <w:r>
        <w:rPr>
          <w:rFonts w:hint="eastAsia" w:ascii="Times New Roman" w:hAnsi="Times New Roman" w:eastAsia="楷体_GB2312" w:cs="楷体_GB2312"/>
          <w:b/>
          <w:sz w:val="32"/>
          <w:szCs w:val="32"/>
        </w:rPr>
        <w:t xml:space="preserve">第三条 </w:t>
      </w:r>
      <w:r>
        <w:rPr>
          <w:rFonts w:hint="eastAsia" w:ascii="Times New Roman" w:hAnsi="Times New Roman" w:eastAsia="仿宋_GB2312"/>
          <w:sz w:val="32"/>
          <w:szCs w:val="32"/>
        </w:rPr>
        <w:t>自治区级农作物种质资源库（圃）包括中期库、种质圃、试管苗库等，是我区农作物种质资源安全保存与共享利用的战略性、基础性和公益性设施，承担农作物种质资源收集、整理、鉴定、登记、保存、交流和利用等工作。</w:t>
      </w:r>
    </w:p>
    <w:p>
      <w:pPr>
        <w:widowControl/>
        <w:spacing w:line="56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一）本规范所指农作物种质资源，是指选育农作物新品种的基础材料，包括农作物的栽培种、野生种、濒危稀有种的繁殖材料，以及利用上述繁殖材料人工创造的各种遗传材料，其形态包括果实、籽粒、苗、根、茎、叶、芽、花、组织、细胞和基因、DNA及DNA片段等物质材料。</w:t>
      </w:r>
    </w:p>
    <w:p>
      <w:pPr>
        <w:widowControl/>
        <w:spacing w:line="56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二）自治区级农作物种质资源中期库负责农作物及其近缘野生植物种质资源的中期保存，以及收集、整理、鉴定、登记、交流和利用。中期库保存种质资源数量不足或监测发现活力低时，应及时申请从国家长期库取种进行繁殖更新，补充库存的同时向长期库提交足量种子补足战略保存数量。</w:t>
      </w:r>
    </w:p>
    <w:p>
      <w:pPr>
        <w:widowControl/>
        <w:spacing w:line="56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三）自治区级农作物种质资源圃负责无性繁殖农作物和多年生近缘野生植物种质资源的田间保存，以及收集、整理、鉴定、登记、交流和利用。分类包括单一农作物种质圃、综合性农作物种质圃、地方特色种质圃和区域种质圃。</w:t>
      </w:r>
    </w:p>
    <w:p>
      <w:pPr>
        <w:widowControl/>
        <w:spacing w:line="56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（四）自治区级试管苗库负责种质资源相关器官或组织的离体保存，以及种质资源的收集、整理、鉴定、登记、交流和利用。</w:t>
      </w:r>
    </w:p>
    <w:p>
      <w:pPr>
        <w:widowControl/>
        <w:spacing w:line="560" w:lineRule="exact"/>
        <w:ind w:firstLine="480"/>
        <w:rPr>
          <w:rFonts w:hint="eastAsia" w:ascii="Times New Roman" w:hAnsi="Times New Roman" w:eastAsia="仿宋_GB2312"/>
          <w:sz w:val="32"/>
          <w:szCs w:val="32"/>
        </w:rPr>
      </w:pPr>
      <w:r>
        <w:rPr>
          <w:rFonts w:hint="eastAsia" w:ascii="Times New Roman" w:hAnsi="Times New Roman" w:eastAsia="楷体_GB2312" w:cs="楷体_GB2312"/>
          <w:b/>
          <w:sz w:val="32"/>
          <w:szCs w:val="32"/>
        </w:rPr>
        <w:t xml:space="preserve">第四条 </w:t>
      </w:r>
      <w:r>
        <w:rPr>
          <w:rFonts w:hint="eastAsia" w:ascii="Times New Roman" w:hAnsi="Times New Roman" w:eastAsia="仿宋_GB2312"/>
          <w:sz w:val="32"/>
          <w:szCs w:val="32"/>
        </w:rPr>
        <w:t>自治区农业农村厅负责自治区级农作物种质资源库（圃）的建立确定和监督管理工作，新疆农业科学院负责自治区级农作物种质资源库（圃）的技术指导、管理考核工作，地(州市)农业农村局负责本行政区内自治区级农作物种质资源库（圃）的申请和日常监管工作，共同推动形成国家级种质资源库（圃）与自治区级种质资源库（圃）有机衔接、互为补充的协同工作机制。</w:t>
      </w:r>
    </w:p>
    <w:p>
      <w:pPr>
        <w:widowControl/>
        <w:spacing w:line="560" w:lineRule="exact"/>
        <w:ind w:firstLine="641" w:firstLineChars="200"/>
        <w:rPr>
          <w:rFonts w:hint="eastAsia" w:ascii="Times New Roman" w:hAnsi="Times New Roman" w:eastAsia="仿宋_GB2312"/>
          <w:sz w:val="32"/>
          <w:szCs w:val="32"/>
        </w:rPr>
      </w:pPr>
      <w:r>
        <w:rPr>
          <w:rFonts w:hint="eastAsia" w:ascii="Times New Roman" w:hAnsi="Times New Roman" w:eastAsia="楷体_GB2312" w:cs="楷体_GB2312"/>
          <w:b/>
          <w:sz w:val="32"/>
          <w:szCs w:val="32"/>
        </w:rPr>
        <w:t xml:space="preserve">第五条 </w:t>
      </w:r>
      <w:r>
        <w:rPr>
          <w:rFonts w:hint="eastAsia" w:ascii="Times New Roman" w:hAnsi="Times New Roman" w:eastAsia="仿宋_GB2312"/>
          <w:sz w:val="32"/>
          <w:szCs w:val="32"/>
        </w:rPr>
        <w:t>自治区级农作物种质资源库（圃）依托单位是自治区级种质资源库（圃）建设、运行和管理的责任主体，主要职责包括:</w:t>
      </w:r>
    </w:p>
    <w:p>
      <w:pPr>
        <w:widowControl/>
        <w:spacing w:line="56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（一）为自治区级农作物种质资源库（圃）的种质资源安全保存和有效利用提供必要的场所、试验设备等条件。</w:t>
      </w:r>
    </w:p>
    <w:p>
      <w:pPr>
        <w:widowControl/>
        <w:spacing w:line="56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（二）负责配备相应的专业技术、管理人员，推荐自治区级农作物种质资源库（圃）负责人并具体负责种质资源库（圃）的运行管理与发展规划制定。</w:t>
      </w:r>
    </w:p>
    <w:p>
      <w:pPr>
        <w:widowControl/>
        <w:spacing w:line="56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（三）协助制定农作物种质资源保护利用规划，提供政策建议，开展农作物种质资源安全保存及开发利用技术研究等。</w:t>
      </w:r>
    </w:p>
    <w:p>
      <w:pPr>
        <w:widowControl/>
        <w:spacing w:line="56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（四）制定适合自治区级农作物种质资源库（圃）发展的考核制度和管理体系，配合自治区农业农村厅做好对自治区级种质资源库（圃）的评估考核工作等。</w:t>
      </w:r>
    </w:p>
    <w:p>
      <w:pPr>
        <w:widowControl/>
        <w:spacing w:line="56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（五）解决自治区级农作物种质资源库（圃）建设与运行中的有关问题，如遇重大事件或保存对象有重大调整等情况须及时报告自治区农业农村厅和新疆农业科学院。</w:t>
      </w:r>
    </w:p>
    <w:p>
      <w:pPr>
        <w:widowControl/>
        <w:spacing w:line="56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（六）完成有关部门交办的其他工作。</w:t>
      </w:r>
    </w:p>
    <w:p>
      <w:pPr>
        <w:widowControl/>
        <w:spacing w:line="560" w:lineRule="exact"/>
        <w:jc w:val="center"/>
        <w:rPr>
          <w:rFonts w:hint="eastAsia" w:ascii="黑体" w:hAnsi="黑体" w:eastAsia="黑体" w:cs="黑体"/>
          <w:kern w:val="0"/>
          <w:sz w:val="32"/>
          <w:szCs w:val="32"/>
        </w:rPr>
      </w:pPr>
      <w:r>
        <w:rPr>
          <w:rFonts w:hint="eastAsia" w:ascii="黑体" w:hAnsi="黑体" w:eastAsia="黑体" w:cs="黑体"/>
          <w:kern w:val="0"/>
          <w:sz w:val="32"/>
          <w:szCs w:val="32"/>
        </w:rPr>
        <w:t>第二章 确定条件和程序</w:t>
      </w:r>
    </w:p>
    <w:p>
      <w:pPr>
        <w:widowControl/>
        <w:spacing w:line="560" w:lineRule="exact"/>
        <w:ind w:firstLine="641" w:firstLineChars="200"/>
        <w:rPr>
          <w:rFonts w:hint="eastAsia" w:ascii="Times New Roman" w:hAnsi="Times New Roman" w:eastAsia="仿宋_GB2312"/>
          <w:sz w:val="32"/>
          <w:szCs w:val="32"/>
        </w:rPr>
      </w:pPr>
      <w:r>
        <w:rPr>
          <w:rFonts w:hint="eastAsia" w:ascii="Times New Roman" w:hAnsi="Times New Roman" w:eastAsia="楷体_GB2312" w:cs="楷体_GB2312"/>
          <w:b/>
          <w:sz w:val="32"/>
          <w:szCs w:val="32"/>
        </w:rPr>
        <w:t xml:space="preserve">第六条 </w:t>
      </w:r>
      <w:r>
        <w:rPr>
          <w:rFonts w:hint="eastAsia" w:ascii="Times New Roman" w:hAnsi="Times New Roman" w:eastAsia="仿宋_GB2312"/>
          <w:sz w:val="32"/>
          <w:szCs w:val="32"/>
        </w:rPr>
        <w:t>申请自治区级农作物种质资源库（圃）的，应当符合国家和自治区农作物种质资源保护和利用要求，并具备下列条件：</w:t>
      </w:r>
    </w:p>
    <w:p>
      <w:pPr>
        <w:widowControl/>
        <w:spacing w:line="56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（一）具有独立法人资格的科研院所、高等院校、企事业单位及其他社会组织等；</w:t>
      </w:r>
    </w:p>
    <w:p>
      <w:pPr>
        <w:widowControl/>
        <w:spacing w:line="56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（二）具备应有的安全保存、稳定运转设施条件和配套设施；</w:t>
      </w:r>
    </w:p>
    <w:p>
      <w:pPr>
        <w:widowControl/>
        <w:spacing w:line="56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（三）具备开展农作物种质资源收集、整理、鉴定、登记、保存、交流和利用等工作能力；</w:t>
      </w:r>
    </w:p>
    <w:p>
      <w:pPr>
        <w:widowControl/>
        <w:spacing w:line="56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（四）保存能力要求：</w:t>
      </w:r>
    </w:p>
    <w:p>
      <w:pPr>
        <w:widowControl/>
        <w:spacing w:line="56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中期库应具有1万份以上种质资源保存能力，且保存与其他中期库非重复编目种质资源不少于已保存种质资源总量的70%，保存总量不少于1000份。</w:t>
      </w:r>
    </w:p>
    <w:p>
      <w:pPr>
        <w:widowControl/>
        <w:spacing w:line="56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种质圃应具有500份以上种质资源保存能力，且保存与其他种质圃非重复编目种质资源不少于已保存种质资源总量的70%，保存总量不少于200份。</w:t>
      </w:r>
    </w:p>
    <w:p>
      <w:pPr>
        <w:widowControl/>
        <w:spacing w:line="56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试管苗库应具有500份（每份10管）以上种质资源保存能力，且保存编目种质资源不少于300份</w:t>
      </w:r>
    </w:p>
    <w:p>
      <w:pPr>
        <w:widowControl/>
        <w:spacing w:line="56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五）具有稳定的农作物种质资源保护专业团队。团队成员有明确的岗位职责，人员数量与种质资源保存规模相适应：综合性库（圃）专业人员数量应在5人以上，其中高级职称人员不少于1人，中级职称人员不少于3人。单一农作物种质资源库（圃）专业人员数量应在3人以上，其中高级职称人员不少于1人，中级职称人员不少于2人。</w:t>
      </w:r>
    </w:p>
    <w:p>
      <w:pPr>
        <w:widowControl/>
        <w:spacing w:line="56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（六）具有完善的收集计划、质量控制、种质资源出入、数据档案、安全运行、重大突发性事件应急预案等管理制度，健全的农作物种质资源收集、整理、鉴定、登记、保存、交流和利用等操作规范或技术规程。</w:t>
      </w:r>
    </w:p>
    <w:p>
      <w:pPr>
        <w:widowControl/>
        <w:spacing w:line="56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（七）</w:t>
      </w:r>
      <w:r>
        <w:rPr>
          <w:rFonts w:hint="eastAsia" w:ascii="Times New Roman" w:hAnsi="Times New Roman" w:eastAsia="仿宋_GB2312" w:cs="Times New Roman"/>
          <w:i w:val="0"/>
          <w:iCs w:val="0"/>
          <w:kern w:val="2"/>
          <w:sz w:val="32"/>
          <w:szCs w:val="32"/>
          <w:u w:val="none"/>
          <w:lang w:val="en-US" w:eastAsia="zh-CN" w:bidi="ar"/>
        </w:rPr>
        <w:t>新疆维吾尔自治区级种质资源库（圃）依托单位、其上一级主管部门能够为保护工作正常开展提供相应的运行经费。</w:t>
      </w:r>
    </w:p>
    <w:p>
      <w:pPr>
        <w:widowControl/>
        <w:spacing w:line="560" w:lineRule="exact"/>
        <w:ind w:firstLine="641" w:firstLineChars="200"/>
        <w:rPr>
          <w:rFonts w:hint="eastAsia" w:ascii="Times New Roman" w:hAnsi="Times New Roman" w:eastAsia="仿宋_GB2312"/>
          <w:sz w:val="32"/>
          <w:szCs w:val="32"/>
        </w:rPr>
      </w:pPr>
      <w:r>
        <w:rPr>
          <w:rFonts w:hint="eastAsia" w:ascii="Times New Roman" w:hAnsi="Times New Roman" w:eastAsia="楷体_GB2312" w:cs="楷体_GB2312"/>
          <w:b/>
          <w:sz w:val="32"/>
          <w:szCs w:val="32"/>
        </w:rPr>
        <w:t xml:space="preserve">第七条 </w:t>
      </w:r>
      <w:r>
        <w:rPr>
          <w:rFonts w:hint="eastAsia" w:ascii="Times New Roman" w:hAnsi="Times New Roman" w:eastAsia="仿宋_GB2312"/>
          <w:sz w:val="32"/>
          <w:szCs w:val="32"/>
        </w:rPr>
        <w:t>自治区级农作物种质资源库（圃）命名规则如下:</w:t>
      </w:r>
    </w:p>
    <w:p>
      <w:pPr>
        <w:widowControl/>
        <w:spacing w:line="56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（一）种质资源库命名为新疆+农作物类型+种质资源库（地点），如新疆</w:t>
      </w:r>
      <w:r>
        <w:rPr>
          <w:rFonts w:hint="eastAsia" w:ascii="Times New Roman" w:hAnsi="Times New Roman" w:eastAsia="仿宋_GB2312"/>
          <w:sz w:val="32"/>
          <w:szCs w:val="32"/>
          <w:lang w:eastAsia="zh-CN"/>
        </w:rPr>
        <w:t>甜</w:t>
      </w:r>
      <w:r>
        <w:rPr>
          <w:rFonts w:hint="eastAsia" w:ascii="Times New Roman" w:hAnsi="Times New Roman" w:eastAsia="仿宋_GB2312"/>
          <w:sz w:val="32"/>
          <w:szCs w:val="32"/>
        </w:rPr>
        <w:t>瓜种质资源库（鄯善）。</w:t>
      </w:r>
    </w:p>
    <w:p>
      <w:pPr>
        <w:widowControl/>
        <w:spacing w:line="56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（二）种质资源圃命名为新疆+农作物类型+种质资源圃（地点），如新疆小麦近缘种质资源圃（乌鲁木齐）。</w:t>
      </w:r>
    </w:p>
    <w:p>
      <w:pPr>
        <w:widowControl/>
        <w:spacing w:line="56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（三）试管苗库命名为新疆+农作物类型+种质资源试管苗库（地点），如新疆薰衣草种质资源试管苗库（伊宁）</w:t>
      </w:r>
    </w:p>
    <w:p>
      <w:pPr>
        <w:widowControl/>
        <w:spacing w:line="560" w:lineRule="exact"/>
        <w:ind w:firstLine="480"/>
        <w:rPr>
          <w:rFonts w:hint="eastAsia" w:ascii="Times New Roman" w:hAnsi="Times New Roman" w:eastAsia="仿宋_GB2312"/>
          <w:sz w:val="32"/>
          <w:szCs w:val="32"/>
        </w:rPr>
      </w:pPr>
      <w:r>
        <w:rPr>
          <w:rFonts w:hint="eastAsia" w:ascii="Times New Roman" w:hAnsi="Times New Roman" w:eastAsia="楷体_GB2312" w:cs="楷体_GB2312"/>
          <w:b/>
          <w:sz w:val="32"/>
          <w:szCs w:val="32"/>
        </w:rPr>
        <w:t xml:space="preserve">第八条 </w:t>
      </w:r>
      <w:r>
        <w:rPr>
          <w:rFonts w:hint="eastAsia" w:ascii="Times New Roman" w:hAnsi="Times New Roman" w:eastAsia="仿宋_GB2312"/>
          <w:sz w:val="32"/>
          <w:szCs w:val="32"/>
        </w:rPr>
        <w:t>符合《新疆维吾尔自治区农作物种质资源库（圃）管理规范》要求的单位，均可通过所在地（州市）农业农村局向自治区农业农村厅提出申请。农业农村厅和新疆农业科学院对申请单位的资质、运行情况、提交材料及农作物种质资源保有真实性等进行初审。完成初审后，组织自治区专家评审，必要的进行现场审查。</w:t>
      </w:r>
    </w:p>
    <w:p>
      <w:pPr>
        <w:widowControl/>
        <w:spacing w:line="560" w:lineRule="exact"/>
        <w:ind w:firstLine="641" w:firstLineChars="200"/>
        <w:rPr>
          <w:rFonts w:hint="eastAsia" w:ascii="Times New Roman" w:hAnsi="Times New Roman" w:eastAsia="仿宋_GB2312"/>
          <w:sz w:val="32"/>
          <w:szCs w:val="32"/>
        </w:rPr>
      </w:pPr>
      <w:r>
        <w:rPr>
          <w:rFonts w:hint="eastAsia" w:ascii="Times New Roman" w:hAnsi="Times New Roman" w:eastAsia="楷体_GB2312" w:cs="楷体_GB2312"/>
          <w:b/>
          <w:sz w:val="32"/>
          <w:szCs w:val="32"/>
        </w:rPr>
        <w:t xml:space="preserve">第九条 </w:t>
      </w:r>
      <w:r>
        <w:rPr>
          <w:rFonts w:hint="eastAsia" w:ascii="Times New Roman" w:hAnsi="Times New Roman" w:eastAsia="仿宋_GB2312"/>
          <w:sz w:val="32"/>
          <w:szCs w:val="32"/>
        </w:rPr>
        <w:t>自治区农业农村厅依据评审结果，对符合条件要求的种质资源库（圃）发布公告予以确定。</w:t>
      </w:r>
    </w:p>
    <w:p>
      <w:pPr>
        <w:widowControl/>
        <w:spacing w:line="560" w:lineRule="exact"/>
        <w:jc w:val="center"/>
        <w:rPr>
          <w:rFonts w:hint="eastAsia" w:ascii="黑体" w:hAnsi="黑体" w:eastAsia="黑体" w:cs="黑体"/>
          <w:kern w:val="0"/>
          <w:sz w:val="32"/>
          <w:szCs w:val="32"/>
        </w:rPr>
      </w:pPr>
      <w:r>
        <w:rPr>
          <w:rFonts w:hint="eastAsia" w:ascii="黑体" w:hAnsi="黑体" w:eastAsia="黑体" w:cs="黑体"/>
          <w:kern w:val="0"/>
          <w:sz w:val="32"/>
          <w:szCs w:val="32"/>
        </w:rPr>
        <w:t>第三章 运行管理与监督</w:t>
      </w:r>
    </w:p>
    <w:p>
      <w:pPr>
        <w:widowControl/>
        <w:spacing w:line="560" w:lineRule="exact"/>
        <w:ind w:firstLine="641" w:firstLineChars="200"/>
        <w:rPr>
          <w:rFonts w:hint="eastAsia" w:ascii="Times New Roman" w:hAnsi="Times New Roman" w:eastAsia="仿宋_GB2312"/>
          <w:sz w:val="32"/>
          <w:szCs w:val="32"/>
        </w:rPr>
      </w:pPr>
      <w:r>
        <w:rPr>
          <w:rFonts w:hint="eastAsia" w:ascii="Times New Roman" w:hAnsi="Times New Roman" w:eastAsia="楷体_GB2312" w:cs="楷体_GB2312"/>
          <w:b/>
          <w:sz w:val="32"/>
          <w:szCs w:val="32"/>
        </w:rPr>
        <w:t xml:space="preserve">第十条 </w:t>
      </w:r>
      <w:r>
        <w:rPr>
          <w:rFonts w:hint="eastAsia" w:ascii="Times New Roman" w:hAnsi="Times New Roman" w:eastAsia="仿宋_GB2312"/>
          <w:sz w:val="32"/>
          <w:szCs w:val="32"/>
        </w:rPr>
        <w:t>自治区级农作物种质资源库（圃）与所依托单位隶属关系不变，相对独立运行。</w:t>
      </w:r>
    </w:p>
    <w:p>
      <w:pPr>
        <w:widowControl/>
        <w:spacing w:line="560" w:lineRule="exact"/>
        <w:ind w:firstLine="641" w:firstLineChars="200"/>
        <w:rPr>
          <w:rFonts w:hint="eastAsia" w:ascii="Times New Roman" w:hAnsi="Times New Roman" w:eastAsia="仿宋_GB2312"/>
          <w:sz w:val="32"/>
          <w:szCs w:val="32"/>
        </w:rPr>
      </w:pPr>
      <w:r>
        <w:rPr>
          <w:rFonts w:hint="eastAsia" w:ascii="Times New Roman" w:hAnsi="Times New Roman" w:eastAsia="楷体_GB2312" w:cs="楷体_GB2312"/>
          <w:b/>
          <w:sz w:val="32"/>
          <w:szCs w:val="32"/>
        </w:rPr>
        <w:t xml:space="preserve">第十一条 </w:t>
      </w:r>
      <w:r>
        <w:rPr>
          <w:rFonts w:hint="eastAsia" w:ascii="Times New Roman" w:hAnsi="Times New Roman" w:eastAsia="仿宋_GB2312"/>
          <w:sz w:val="32"/>
          <w:szCs w:val="32"/>
        </w:rPr>
        <w:t>自治区级农作物种质资源库（圃）应具有完善的管理和运行制度，明确严格的管理技术规范，定期开展设施设备维护、检测保存种质资源活力、繁殖更新复壮等工作，确保种质资源不丢失、能利用。</w:t>
      </w:r>
    </w:p>
    <w:p>
      <w:pPr>
        <w:pStyle w:val="2"/>
        <w:ind w:left="0" w:leftChars="0" w:firstLine="641" w:firstLineChars="200"/>
        <w:rPr>
          <w:rFonts w:hint="default" w:ascii="Times New Roman Regular" w:hAnsi="Times New Roman Regular" w:eastAsia="仿宋_GB2312" w:cs="Times New Roman Regular"/>
          <w:sz w:val="32"/>
          <w:szCs w:val="32"/>
        </w:rPr>
      </w:pPr>
      <w:r>
        <w:rPr>
          <w:rFonts w:hint="eastAsia" w:ascii="Times New Roman" w:hAnsi="Times New Roman" w:eastAsia="楷体_GB2312" w:cs="楷体_GB2312"/>
          <w:b/>
          <w:sz w:val="32"/>
          <w:szCs w:val="32"/>
          <w:lang w:val="en-US" w:eastAsia="zh-CN"/>
        </w:rPr>
        <w:t>第十二条</w:t>
      </w:r>
      <w:r>
        <w:rPr>
          <w:rFonts w:hint="default" w:ascii="Times New Roman Regular" w:hAnsi="Times New Roman Regular" w:eastAsia="仿宋_GB2312" w:cs="Times New Roman Regular"/>
          <w:sz w:val="32"/>
          <w:szCs w:val="32"/>
          <w:lang w:eastAsia="zh-Hans"/>
        </w:rPr>
        <w:t xml:space="preserve"> </w:t>
      </w:r>
      <w:r>
        <w:rPr>
          <w:rFonts w:hint="default" w:ascii="Times New Roman Regular" w:hAnsi="Times New Roman Regular" w:eastAsia="仿宋_GB2312" w:cs="Times New Roman Regular"/>
          <w:sz w:val="32"/>
          <w:szCs w:val="32"/>
          <w:lang w:val="en-US" w:eastAsia="zh-CN"/>
        </w:rPr>
        <w:t>自治区级农作物</w:t>
      </w:r>
      <w:r>
        <w:rPr>
          <w:rFonts w:hint="default" w:ascii="Times New Roman Regular" w:hAnsi="Times New Roman Regular" w:eastAsia="仿宋_GB2312" w:cs="Times New Roman Regular"/>
          <w:sz w:val="32"/>
          <w:szCs w:val="32"/>
        </w:rPr>
        <w:t>种质资源库（圃）需要更名、保存农作物对象发生变化或需要搬迁的，须由</w:t>
      </w:r>
      <w:r>
        <w:rPr>
          <w:rFonts w:hint="default" w:ascii="Times New Roman Regular" w:hAnsi="Times New Roman Regular" w:eastAsia="仿宋_GB2312" w:cs="Times New Roman Regular"/>
          <w:sz w:val="32"/>
          <w:szCs w:val="32"/>
          <w:lang w:val="en-US" w:eastAsia="zh-CN"/>
        </w:rPr>
        <w:t>自治区级农作物</w:t>
      </w:r>
      <w:r>
        <w:rPr>
          <w:rFonts w:hint="default" w:ascii="Times New Roman Regular" w:hAnsi="Times New Roman Regular" w:eastAsia="仿宋_GB2312" w:cs="Times New Roman Regular"/>
          <w:sz w:val="32"/>
          <w:szCs w:val="32"/>
        </w:rPr>
        <w:t>种质资源库（圃）依托单位提出书面报告，由</w:t>
      </w:r>
      <w:r>
        <w:rPr>
          <w:rFonts w:hint="default" w:ascii="Times New Roman Regular" w:hAnsi="Times New Roman Regular" w:eastAsia="仿宋_GB2312" w:cs="Times New Roman Regular"/>
          <w:sz w:val="32"/>
          <w:szCs w:val="32"/>
          <w:lang w:val="en-US" w:eastAsia="zh-CN"/>
        </w:rPr>
        <w:t>自治区</w:t>
      </w:r>
      <w:r>
        <w:rPr>
          <w:rFonts w:hint="default" w:ascii="Times New Roman Regular" w:hAnsi="Times New Roman Regular" w:eastAsia="仿宋_GB2312" w:cs="Times New Roman Regular"/>
          <w:sz w:val="32"/>
          <w:szCs w:val="32"/>
        </w:rPr>
        <w:t>农业农村</w:t>
      </w:r>
      <w:r>
        <w:rPr>
          <w:rFonts w:hint="default" w:ascii="Times New Roman Regular" w:hAnsi="Times New Roman Regular" w:eastAsia="仿宋_GB2312" w:cs="Times New Roman Regular"/>
          <w:sz w:val="32"/>
          <w:szCs w:val="32"/>
          <w:lang w:val="en-US" w:eastAsia="zh-CN"/>
        </w:rPr>
        <w:t>厅</w:t>
      </w:r>
      <w:r>
        <w:rPr>
          <w:rFonts w:hint="default" w:ascii="Times New Roman Regular" w:hAnsi="Times New Roman Regular" w:eastAsia="仿宋_GB2312" w:cs="Times New Roman Regular"/>
          <w:sz w:val="32"/>
          <w:szCs w:val="32"/>
        </w:rPr>
        <w:t>组织专家论证</w:t>
      </w:r>
      <w:r>
        <w:rPr>
          <w:rFonts w:hint="default" w:ascii="Times New Roman Regular" w:hAnsi="Times New Roman Regular" w:eastAsia="仿宋_GB2312" w:cs="Times New Roman Regular"/>
          <w:sz w:val="32"/>
          <w:szCs w:val="32"/>
          <w:lang w:val="en-US" w:eastAsia="zh-CN"/>
        </w:rPr>
        <w:t>和</w:t>
      </w:r>
      <w:r>
        <w:rPr>
          <w:rFonts w:hint="default" w:ascii="Times New Roman Regular" w:hAnsi="Times New Roman Regular" w:eastAsia="仿宋_GB2312" w:cs="Times New Roman Regular"/>
          <w:sz w:val="32"/>
          <w:szCs w:val="32"/>
        </w:rPr>
        <w:t>审核后，予以确定。</w:t>
      </w:r>
    </w:p>
    <w:p>
      <w:pPr>
        <w:widowControl/>
        <w:spacing w:line="560" w:lineRule="exact"/>
        <w:ind w:firstLine="641" w:firstLineChars="200"/>
        <w:rPr>
          <w:rFonts w:hint="eastAsia" w:ascii="Times New Roman" w:hAnsi="Times New Roman" w:eastAsia="仿宋_GB2312"/>
          <w:sz w:val="32"/>
          <w:szCs w:val="32"/>
        </w:rPr>
      </w:pPr>
      <w:r>
        <w:rPr>
          <w:rFonts w:hint="eastAsia" w:ascii="Times New Roman" w:hAnsi="Times New Roman" w:eastAsia="楷体_GB2312" w:cs="楷体_GB2312"/>
          <w:b/>
          <w:sz w:val="32"/>
          <w:szCs w:val="32"/>
        </w:rPr>
        <w:t>第十</w:t>
      </w:r>
      <w:r>
        <w:rPr>
          <w:rFonts w:hint="eastAsia" w:ascii="Times New Roman" w:hAnsi="Times New Roman" w:eastAsia="楷体_GB2312" w:cs="楷体_GB2312"/>
          <w:b/>
          <w:sz w:val="32"/>
          <w:szCs w:val="32"/>
          <w:lang w:val="en-US" w:eastAsia="zh-Hans"/>
        </w:rPr>
        <w:t>三</w:t>
      </w:r>
      <w:r>
        <w:rPr>
          <w:rFonts w:hint="eastAsia" w:ascii="Times New Roman" w:hAnsi="Times New Roman" w:eastAsia="楷体_GB2312" w:cs="楷体_GB2312"/>
          <w:b/>
          <w:sz w:val="32"/>
          <w:szCs w:val="32"/>
        </w:rPr>
        <w:t xml:space="preserve">条 </w:t>
      </w:r>
      <w:r>
        <w:rPr>
          <w:rFonts w:hint="eastAsia" w:ascii="Times New Roman" w:hAnsi="Times New Roman" w:eastAsia="仿宋_GB2312"/>
          <w:sz w:val="32"/>
          <w:szCs w:val="32"/>
        </w:rPr>
        <w:t>自治区级农作物种质资源库（圃）实行主任负责制，设主任1名，由具有法人资格的依托单位主要负责人兼任；设常务副主任1名，由具有相关专业背景的人员担任，负责日常运行管理与研究工作；其他人员应具有明确的岗位职责和任务。并设立专家组，由5名或7名专家组成（原则上外单位专家不少于2名），定期听取种质资源保护工作进展，为种质资源的安全保存与有效利用提供咨询或技术指导。</w:t>
      </w:r>
    </w:p>
    <w:p>
      <w:pPr>
        <w:widowControl/>
        <w:spacing w:line="560" w:lineRule="exact"/>
        <w:ind w:firstLine="641" w:firstLineChars="200"/>
        <w:rPr>
          <w:rFonts w:hint="eastAsia" w:ascii="Times New Roman" w:hAnsi="Times New Roman" w:eastAsia="仿宋_GB2312"/>
          <w:sz w:val="32"/>
          <w:szCs w:val="32"/>
        </w:rPr>
      </w:pPr>
      <w:r>
        <w:rPr>
          <w:rFonts w:hint="eastAsia" w:ascii="Times New Roman" w:hAnsi="Times New Roman" w:eastAsia="楷体_GB2312" w:cs="楷体_GB2312"/>
          <w:b/>
          <w:sz w:val="32"/>
          <w:szCs w:val="32"/>
        </w:rPr>
        <w:t>第十</w:t>
      </w:r>
      <w:r>
        <w:rPr>
          <w:rFonts w:hint="eastAsia" w:ascii="Times New Roman" w:hAnsi="Times New Roman" w:eastAsia="楷体_GB2312" w:cs="楷体_GB2312"/>
          <w:b/>
          <w:sz w:val="32"/>
          <w:szCs w:val="32"/>
          <w:lang w:val="en-US" w:eastAsia="zh-Hans"/>
        </w:rPr>
        <w:t>四</w:t>
      </w:r>
      <w:r>
        <w:rPr>
          <w:rFonts w:hint="eastAsia" w:ascii="Times New Roman" w:hAnsi="Times New Roman" w:eastAsia="楷体_GB2312" w:cs="楷体_GB2312"/>
          <w:b/>
          <w:sz w:val="32"/>
          <w:szCs w:val="32"/>
        </w:rPr>
        <w:t xml:space="preserve">条 </w:t>
      </w:r>
      <w:r>
        <w:rPr>
          <w:rFonts w:hint="eastAsia" w:ascii="Times New Roman" w:hAnsi="Times New Roman" w:eastAsia="仿宋_GB2312"/>
          <w:sz w:val="32"/>
          <w:szCs w:val="32"/>
        </w:rPr>
        <w:t>自治区级农作物种质资源库（圃）每年1月底前向自治区农业农村厅、新疆农科院提交上年度运行管理情况及业务工作总结报告，以及种质资源收集引进、鉴定评价、编目保存、繁殖更新和分发利用等相关信息数据。</w:t>
      </w:r>
    </w:p>
    <w:p>
      <w:pPr>
        <w:widowControl/>
        <w:spacing w:line="560" w:lineRule="exact"/>
        <w:ind w:firstLine="641" w:firstLineChars="200"/>
        <w:rPr>
          <w:rFonts w:hint="eastAsia" w:ascii="Times New Roman" w:hAnsi="Times New Roman" w:eastAsia="仿宋_GB2312"/>
          <w:sz w:val="32"/>
          <w:szCs w:val="32"/>
        </w:rPr>
      </w:pPr>
      <w:r>
        <w:rPr>
          <w:rFonts w:hint="eastAsia" w:ascii="Times New Roman" w:hAnsi="Times New Roman" w:eastAsia="楷体_GB2312" w:cs="楷体_GB2312"/>
          <w:b/>
          <w:sz w:val="32"/>
          <w:szCs w:val="32"/>
        </w:rPr>
        <w:t>第十</w:t>
      </w:r>
      <w:r>
        <w:rPr>
          <w:rFonts w:hint="eastAsia" w:ascii="Times New Roman" w:hAnsi="Times New Roman" w:eastAsia="楷体_GB2312" w:cs="楷体_GB2312"/>
          <w:b/>
          <w:sz w:val="32"/>
          <w:szCs w:val="32"/>
          <w:lang w:val="en-US" w:eastAsia="zh-Hans"/>
        </w:rPr>
        <w:t>五</w:t>
      </w:r>
      <w:r>
        <w:rPr>
          <w:rFonts w:hint="eastAsia" w:ascii="Times New Roman" w:hAnsi="Times New Roman" w:eastAsia="楷体_GB2312" w:cs="楷体_GB2312"/>
          <w:b/>
          <w:sz w:val="32"/>
          <w:szCs w:val="32"/>
        </w:rPr>
        <w:t>条</w:t>
      </w:r>
      <w:r>
        <w:rPr>
          <w:rFonts w:hint="eastAsia" w:ascii="Times New Roman" w:hAnsi="Times New Roman" w:eastAsia="仿宋_GB2312"/>
          <w:sz w:val="32"/>
          <w:szCs w:val="32"/>
        </w:rPr>
        <w:t xml:space="preserve"> 如遇重大事项，自治区级农作物种质资源库（圃）有责任和义务及时向农业农村厅、新疆</w:t>
      </w:r>
      <w:r>
        <w:rPr>
          <w:rFonts w:hint="eastAsia" w:ascii="Times New Roman" w:hAnsi="Times New Roman" w:eastAsia="仿宋_GB2312"/>
          <w:sz w:val="32"/>
          <w:szCs w:val="32"/>
          <w:lang w:val="en-US" w:eastAsia="zh-Hans"/>
        </w:rPr>
        <w:t>农业科学院</w:t>
      </w:r>
      <w:r>
        <w:rPr>
          <w:rFonts w:hint="eastAsia" w:ascii="Times New Roman" w:hAnsi="Times New Roman" w:eastAsia="仿宋_GB2312"/>
          <w:sz w:val="32"/>
          <w:szCs w:val="32"/>
        </w:rPr>
        <w:t>报告。</w:t>
      </w:r>
    </w:p>
    <w:p>
      <w:pPr>
        <w:widowControl/>
        <w:spacing w:line="560" w:lineRule="exact"/>
        <w:jc w:val="center"/>
        <w:rPr>
          <w:rFonts w:hint="eastAsia" w:ascii="黑体" w:hAnsi="黑体" w:eastAsia="黑体" w:cs="黑体"/>
          <w:kern w:val="0"/>
          <w:sz w:val="32"/>
          <w:szCs w:val="32"/>
        </w:rPr>
      </w:pPr>
      <w:r>
        <w:rPr>
          <w:rFonts w:hint="eastAsia" w:ascii="黑体" w:hAnsi="黑体" w:eastAsia="黑体" w:cs="黑体"/>
          <w:kern w:val="0"/>
          <w:sz w:val="32"/>
          <w:szCs w:val="32"/>
        </w:rPr>
        <w:t>第四章 考核与评估</w:t>
      </w:r>
    </w:p>
    <w:p>
      <w:pPr>
        <w:widowControl/>
        <w:spacing w:line="560" w:lineRule="exact"/>
        <w:ind w:firstLine="641" w:firstLineChars="200"/>
        <w:rPr>
          <w:rFonts w:hint="eastAsia" w:ascii="Times New Roman" w:hAnsi="Times New Roman" w:eastAsia="仿宋_GB2312"/>
          <w:sz w:val="32"/>
          <w:szCs w:val="32"/>
        </w:rPr>
      </w:pPr>
      <w:r>
        <w:rPr>
          <w:rFonts w:hint="eastAsia" w:ascii="Times New Roman" w:hAnsi="Times New Roman" w:eastAsia="楷体_GB2312" w:cs="楷体_GB2312"/>
          <w:b/>
          <w:sz w:val="32"/>
          <w:szCs w:val="32"/>
        </w:rPr>
        <w:t>第十</w:t>
      </w:r>
      <w:r>
        <w:rPr>
          <w:rFonts w:hint="eastAsia" w:ascii="Times New Roman" w:hAnsi="Times New Roman" w:eastAsia="楷体_GB2312" w:cs="楷体_GB2312"/>
          <w:b/>
          <w:sz w:val="32"/>
          <w:szCs w:val="32"/>
          <w:lang w:val="en-US" w:eastAsia="zh-Hans"/>
        </w:rPr>
        <w:t>六</w:t>
      </w:r>
      <w:r>
        <w:rPr>
          <w:rFonts w:hint="eastAsia" w:ascii="Times New Roman" w:hAnsi="Times New Roman" w:eastAsia="楷体_GB2312" w:cs="楷体_GB2312"/>
          <w:b/>
          <w:sz w:val="32"/>
          <w:szCs w:val="32"/>
        </w:rPr>
        <w:t>条</w:t>
      </w:r>
      <w:r>
        <w:rPr>
          <w:rFonts w:hint="eastAsia" w:ascii="Times New Roman" w:hAnsi="Times New Roman" w:eastAsia="仿宋_GB2312"/>
          <w:sz w:val="32"/>
          <w:szCs w:val="32"/>
        </w:rPr>
        <w:t xml:space="preserve"> 自治区农业农村厅支持自治区级农作物种质资源库（圃）开展种质资源鉴定评价。自治区级农作物种质资源库（圃）应当按照相应农作物类型的数据标准建立数据库，并按要求向自治区农业农村厅提供数据，且提交的鉴定评价数据，应当具有同一地点连续2年或2个生长周期（一年生）以上的鉴定评价记录。</w:t>
      </w:r>
    </w:p>
    <w:p>
      <w:pPr>
        <w:widowControl/>
        <w:spacing w:line="560" w:lineRule="exact"/>
        <w:ind w:firstLine="641" w:firstLineChars="200"/>
        <w:rPr>
          <w:rFonts w:hint="eastAsia" w:ascii="Times New Roman" w:hAnsi="Times New Roman" w:eastAsia="仿宋_GB2312"/>
          <w:sz w:val="32"/>
          <w:szCs w:val="32"/>
        </w:rPr>
      </w:pPr>
      <w:r>
        <w:rPr>
          <w:rFonts w:hint="eastAsia" w:ascii="Times New Roman" w:hAnsi="Times New Roman" w:eastAsia="楷体_GB2312" w:cs="楷体_GB2312"/>
          <w:b/>
          <w:sz w:val="32"/>
          <w:szCs w:val="32"/>
        </w:rPr>
        <w:t>第十</w:t>
      </w:r>
      <w:r>
        <w:rPr>
          <w:rFonts w:hint="eastAsia" w:ascii="Times New Roman" w:hAnsi="Times New Roman" w:eastAsia="楷体_GB2312" w:cs="楷体_GB2312"/>
          <w:b/>
          <w:sz w:val="32"/>
          <w:szCs w:val="32"/>
          <w:lang w:val="en-US" w:eastAsia="zh-Hans"/>
        </w:rPr>
        <w:t>七</w:t>
      </w:r>
      <w:r>
        <w:rPr>
          <w:rFonts w:hint="eastAsia" w:ascii="Times New Roman" w:hAnsi="Times New Roman" w:eastAsia="楷体_GB2312" w:cs="楷体_GB2312"/>
          <w:b/>
          <w:sz w:val="32"/>
          <w:szCs w:val="32"/>
        </w:rPr>
        <w:t xml:space="preserve">条 </w:t>
      </w:r>
      <w:r>
        <w:rPr>
          <w:rFonts w:hint="eastAsia" w:ascii="Times New Roman" w:hAnsi="Times New Roman" w:eastAsia="仿宋_GB2312"/>
          <w:sz w:val="32"/>
          <w:szCs w:val="32"/>
        </w:rPr>
        <w:t>自治区农业农村厅和新疆农业科学院每5年对自治区级农作物种质资源库(圃)进行综合考核评估，考核评估内容主要包括队伍建设、种质资源安全保存和有效利用、依托单位职责履行情况等。</w:t>
      </w:r>
    </w:p>
    <w:p>
      <w:pPr>
        <w:widowControl/>
        <w:spacing w:line="560" w:lineRule="exact"/>
        <w:ind w:firstLine="641" w:firstLineChars="200"/>
        <w:rPr>
          <w:rFonts w:hint="eastAsia" w:ascii="Times New Roman" w:hAnsi="Times New Roman" w:eastAsia="仿宋_GB2312"/>
          <w:sz w:val="32"/>
          <w:szCs w:val="32"/>
        </w:rPr>
      </w:pPr>
      <w:r>
        <w:rPr>
          <w:rFonts w:hint="eastAsia" w:ascii="Times New Roman" w:hAnsi="Times New Roman" w:eastAsia="楷体_GB2312" w:cs="楷体_GB2312"/>
          <w:b/>
          <w:sz w:val="32"/>
          <w:szCs w:val="32"/>
        </w:rPr>
        <w:t>第十</w:t>
      </w:r>
      <w:r>
        <w:rPr>
          <w:rFonts w:hint="eastAsia" w:ascii="Times New Roman" w:hAnsi="Times New Roman" w:eastAsia="楷体_GB2312" w:cs="楷体_GB2312"/>
          <w:b/>
          <w:sz w:val="32"/>
          <w:szCs w:val="32"/>
          <w:lang w:val="en-US" w:eastAsia="zh-Hans"/>
        </w:rPr>
        <w:t>八</w:t>
      </w:r>
      <w:r>
        <w:rPr>
          <w:rFonts w:hint="eastAsia" w:ascii="Times New Roman" w:hAnsi="Times New Roman" w:eastAsia="楷体_GB2312" w:cs="楷体_GB2312"/>
          <w:b/>
          <w:sz w:val="32"/>
          <w:szCs w:val="32"/>
        </w:rPr>
        <w:t>条</w:t>
      </w:r>
      <w:r>
        <w:rPr>
          <w:rFonts w:hint="eastAsia" w:ascii="Times New Roman" w:hAnsi="Times New Roman" w:eastAsia="仿宋_GB2312"/>
          <w:sz w:val="32"/>
          <w:szCs w:val="32"/>
        </w:rPr>
        <w:t> 对考核评估中完成任务好、管理水平高和成绩突出的自治区级农作物种质资源库（圃）和个人给予表扬。</w:t>
      </w:r>
    </w:p>
    <w:p>
      <w:pPr>
        <w:widowControl/>
        <w:spacing w:line="560" w:lineRule="exact"/>
        <w:ind w:firstLine="641" w:firstLineChars="200"/>
        <w:rPr>
          <w:rFonts w:hint="eastAsia" w:ascii="Times New Roman" w:hAnsi="Times New Roman" w:eastAsia="仿宋_GB2312"/>
          <w:sz w:val="32"/>
          <w:szCs w:val="32"/>
        </w:rPr>
      </w:pPr>
      <w:r>
        <w:rPr>
          <w:rFonts w:hint="eastAsia" w:ascii="Times New Roman" w:hAnsi="Times New Roman" w:eastAsia="楷体_GB2312" w:cs="楷体_GB2312"/>
          <w:b/>
          <w:sz w:val="32"/>
          <w:szCs w:val="32"/>
        </w:rPr>
        <w:t>第十</w:t>
      </w:r>
      <w:r>
        <w:rPr>
          <w:rFonts w:hint="eastAsia" w:ascii="Times New Roman" w:hAnsi="Times New Roman" w:eastAsia="楷体_GB2312" w:cs="楷体_GB2312"/>
          <w:b/>
          <w:sz w:val="32"/>
          <w:szCs w:val="32"/>
          <w:lang w:val="en-US" w:eastAsia="zh-Hans"/>
        </w:rPr>
        <w:t>九</w:t>
      </w:r>
      <w:r>
        <w:rPr>
          <w:rFonts w:hint="eastAsia" w:ascii="Times New Roman" w:hAnsi="Times New Roman" w:eastAsia="楷体_GB2312" w:cs="楷体_GB2312"/>
          <w:b/>
          <w:sz w:val="32"/>
          <w:szCs w:val="32"/>
        </w:rPr>
        <w:t xml:space="preserve">条 </w:t>
      </w:r>
      <w:r>
        <w:rPr>
          <w:rFonts w:hint="eastAsia" w:ascii="Times New Roman" w:hAnsi="Times New Roman" w:eastAsia="仿宋_GB2312"/>
          <w:sz w:val="32"/>
          <w:szCs w:val="32"/>
        </w:rPr>
        <w:t>对管理混乱、运行不良或者人为因素造成种质资源损失的自治区级种农作物质资源库（圃），视情节轻重给予限期整改、撤销资格等处理，且撤销资格后3年内不得再次申请确定。对不作为、乱作为造成种质资源流失、灭绝等严重后果的，依法依规追究有关单位和人员责任。</w:t>
      </w:r>
    </w:p>
    <w:p>
      <w:pPr>
        <w:widowControl/>
        <w:spacing w:line="560" w:lineRule="exact"/>
        <w:jc w:val="center"/>
        <w:rPr>
          <w:rFonts w:ascii="宋体" w:hAnsi="宋体" w:cs="宋体"/>
          <w:b/>
          <w:bCs/>
          <w:kern w:val="0"/>
          <w:sz w:val="32"/>
          <w:szCs w:val="32"/>
        </w:rPr>
      </w:pPr>
      <w:r>
        <w:rPr>
          <w:rFonts w:hint="eastAsia" w:ascii="黑体" w:hAnsi="黑体" w:eastAsia="黑体" w:cs="黑体"/>
          <w:kern w:val="0"/>
          <w:sz w:val="32"/>
          <w:szCs w:val="32"/>
        </w:rPr>
        <w:t>第五章 附 则</w:t>
      </w:r>
    </w:p>
    <w:p>
      <w:pPr>
        <w:widowControl/>
        <w:spacing w:line="560" w:lineRule="exact"/>
        <w:ind w:firstLine="641" w:firstLineChars="200"/>
        <w:rPr>
          <w:rFonts w:hint="eastAsia" w:ascii="Times New Roman" w:hAnsi="Times New Roman" w:eastAsia="仿宋_GB2312"/>
          <w:sz w:val="32"/>
          <w:szCs w:val="32"/>
        </w:rPr>
      </w:pPr>
      <w:r>
        <w:rPr>
          <w:rFonts w:hint="eastAsia" w:ascii="Times New Roman" w:hAnsi="Times New Roman" w:eastAsia="楷体_GB2312" w:cs="楷体_GB2312"/>
          <w:b/>
          <w:sz w:val="32"/>
          <w:szCs w:val="32"/>
        </w:rPr>
        <w:t>第</w:t>
      </w:r>
      <w:r>
        <w:rPr>
          <w:rFonts w:hint="eastAsia" w:ascii="Times New Roman" w:hAnsi="Times New Roman" w:eastAsia="楷体_GB2312" w:cs="楷体_GB2312"/>
          <w:b/>
          <w:sz w:val="32"/>
          <w:szCs w:val="32"/>
          <w:lang w:val="en-US" w:eastAsia="zh-Hans"/>
        </w:rPr>
        <w:t>二十</w:t>
      </w:r>
      <w:r>
        <w:rPr>
          <w:rFonts w:hint="eastAsia" w:ascii="Times New Roman" w:hAnsi="Times New Roman" w:eastAsia="楷体_GB2312" w:cs="楷体_GB2312"/>
          <w:b/>
          <w:sz w:val="32"/>
          <w:szCs w:val="32"/>
        </w:rPr>
        <w:t xml:space="preserve">条 </w:t>
      </w:r>
      <w:r>
        <w:rPr>
          <w:rFonts w:hint="eastAsia" w:ascii="Times New Roman" w:hAnsi="Times New Roman" w:eastAsia="仿宋_GB2312"/>
          <w:sz w:val="32"/>
          <w:szCs w:val="32"/>
        </w:rPr>
        <w:t>本规范由自治区农业农村厅负责解释。</w:t>
      </w:r>
    </w:p>
    <w:p>
      <w:pPr>
        <w:widowControl/>
        <w:spacing w:line="560" w:lineRule="exact"/>
        <w:ind w:firstLine="641" w:firstLineChars="200"/>
        <w:rPr>
          <w:rFonts w:ascii="宋体" w:hAnsi="宋体" w:cs="宋体"/>
          <w:kern w:val="0"/>
          <w:sz w:val="32"/>
          <w:szCs w:val="32"/>
        </w:rPr>
      </w:pPr>
      <w:r>
        <w:rPr>
          <w:rFonts w:hint="eastAsia" w:ascii="Times New Roman" w:hAnsi="Times New Roman" w:eastAsia="楷体_GB2312" w:cs="楷体_GB2312"/>
          <w:b/>
          <w:sz w:val="32"/>
          <w:szCs w:val="32"/>
        </w:rPr>
        <w:t>第二十</w:t>
      </w:r>
      <w:r>
        <w:rPr>
          <w:rFonts w:hint="eastAsia" w:ascii="Times New Roman" w:hAnsi="Times New Roman" w:eastAsia="楷体_GB2312" w:cs="楷体_GB2312"/>
          <w:b/>
          <w:sz w:val="32"/>
          <w:szCs w:val="32"/>
          <w:lang w:val="en-US" w:eastAsia="zh-Hans"/>
        </w:rPr>
        <w:t>一</w:t>
      </w:r>
      <w:r>
        <w:rPr>
          <w:rFonts w:hint="eastAsia" w:ascii="Times New Roman" w:hAnsi="Times New Roman" w:eastAsia="楷体_GB2312" w:cs="楷体_GB2312"/>
          <w:b/>
          <w:sz w:val="32"/>
          <w:szCs w:val="32"/>
        </w:rPr>
        <w:t>条</w:t>
      </w:r>
      <w:r>
        <w:rPr>
          <w:rFonts w:hint="eastAsia" w:ascii="Times New Roman" w:hAnsi="Times New Roman" w:eastAsia="仿宋_GB2312"/>
          <w:sz w:val="32"/>
          <w:szCs w:val="32"/>
        </w:rPr>
        <w:t xml:space="preserve"> 本规范自2022年  月   日起实施。</w:t>
      </w:r>
    </w:p>
    <w:p/>
    <w:p>
      <w:pPr>
        <w:widowControl/>
        <w:spacing w:line="560" w:lineRule="exact"/>
        <w:jc w:val="center"/>
        <w:rPr>
          <w:rFonts w:hint="eastAsia" w:ascii="方正小标宋简体" w:hAnsi="方正小标宋简体" w:eastAsia="方正小标宋简体" w:cs="方正小标宋简体"/>
          <w:kern w:val="0"/>
          <w:sz w:val="44"/>
          <w:szCs w:val="44"/>
        </w:rPr>
      </w:pPr>
    </w:p>
    <w:p>
      <w:pPr>
        <w:widowControl/>
        <w:spacing w:line="560" w:lineRule="exact"/>
        <w:jc w:val="center"/>
        <w:rPr>
          <w:rFonts w:hint="eastAsia" w:ascii="方正小标宋简体" w:hAnsi="方正小标宋简体" w:eastAsia="方正小标宋简体" w:cs="方正小标宋简体"/>
          <w:kern w:val="0"/>
          <w:sz w:val="44"/>
          <w:szCs w:val="44"/>
        </w:rPr>
      </w:pPr>
    </w:p>
    <w:p>
      <w:pPr>
        <w:widowControl/>
        <w:spacing w:line="560" w:lineRule="exact"/>
        <w:jc w:val="center"/>
        <w:rPr>
          <w:rFonts w:ascii="方正小标宋简体" w:hAnsi="方正小标宋简体" w:eastAsia="方正小标宋简体" w:cs="方正小标宋简体"/>
          <w:kern w:val="0"/>
          <w:sz w:val="44"/>
          <w:szCs w:val="44"/>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textAlignment w:val="auto"/>
        <w:rPr>
          <w:rFonts w:hint="default" w:ascii="Times New Roman Regular" w:hAnsi="Times New Roman Regular" w:eastAsia="仿宋_GB2312" w:cs="Times New Roman Regular"/>
          <w:kern w:val="0"/>
          <w:sz w:val="36"/>
          <w:szCs w:val="36"/>
          <w:lang w:val="en-US" w:eastAsia="zh-CN"/>
        </w:rPr>
      </w:pPr>
    </w:p>
    <w:p>
      <w:pPr>
        <w:spacing w:line="600" w:lineRule="exact"/>
        <w:jc w:val="center"/>
        <w:rPr>
          <w:rFonts w:hint="default" w:ascii="Times New Roman Regular" w:hAnsi="Times New Roman Regular" w:eastAsia="仿宋_GB2312" w:cs="Times New Roman Regular"/>
          <w:sz w:val="36"/>
          <w:szCs w:val="36"/>
          <w:lang w:val="en-US" w:eastAsia="zh-Hans"/>
        </w:rPr>
      </w:pPr>
    </w:p>
    <w:p>
      <w:pPr>
        <w:spacing w:line="600" w:lineRule="exact"/>
        <w:jc w:val="center"/>
        <w:rPr>
          <w:rFonts w:hint="eastAsia" w:ascii="方正小标宋简体" w:hAnsi="方正小标宋简体" w:eastAsia="方正小标宋简体" w:cs="方正小标宋简体"/>
          <w:sz w:val="44"/>
          <w:szCs w:val="44"/>
          <w:lang w:val="en-US" w:eastAsia="zh-Hans"/>
        </w:rPr>
      </w:pPr>
    </w:p>
    <w:p>
      <w:pPr>
        <w:spacing w:line="600" w:lineRule="exact"/>
        <w:jc w:val="center"/>
        <w:rPr>
          <w:rFonts w:hint="eastAsia" w:ascii="方正小标宋简体" w:hAnsi="方正小标宋简体" w:eastAsia="方正小标宋简体" w:cs="方正小标宋简体"/>
          <w:sz w:val="44"/>
          <w:szCs w:val="44"/>
          <w:lang w:val="en-US" w:eastAsia="zh-Hans"/>
        </w:rPr>
      </w:pPr>
    </w:p>
    <w:p>
      <w:pPr>
        <w:spacing w:line="600" w:lineRule="exact"/>
        <w:jc w:val="center"/>
        <w:rPr>
          <w:rFonts w:hint="eastAsia" w:ascii="方正小标宋简体" w:hAnsi="方正小标宋简体" w:eastAsia="方正小标宋简体" w:cs="方正小标宋简体"/>
          <w:sz w:val="44"/>
          <w:szCs w:val="44"/>
          <w:lang w:val="en-US" w:eastAsia="zh-Han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CC"/>
    <w:family w:val="auto"/>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Times New Roman Regular">
    <w:panose1 w:val="02020503050405090304"/>
    <w:charset w:val="00"/>
    <w:family w:val="auto"/>
    <w:pitch w:val="default"/>
    <w:sig w:usb0="E0000AFF" w:usb1="00007843" w:usb2="00000001" w:usb3="00000000" w:csb0="400001BF" w:csb1="DFF70000"/>
  </w:font>
  <w:font w:name="方正小标宋_GBK">
    <w:panose1 w:val="03000509000000000000"/>
    <w:charset w:val="86"/>
    <w:family w:val="auto"/>
    <w:pitch w:val="default"/>
    <w:sig w:usb0="00000001" w:usb1="080E0000" w:usb2="00000000" w:usb3="00000000" w:csb0="00040000" w:csb1="00000000"/>
  </w:font>
  <w:font w:name="仿宋">
    <w:altName w:val="方正仿宋_GBK"/>
    <w:panose1 w:val="02010609060101010101"/>
    <w:charset w:val="00"/>
    <w:family w:val="auto"/>
    <w:pitch w:val="default"/>
    <w:sig w:usb0="00000000" w:usb1="00000000" w:usb2="00000016" w:usb3="00000000" w:csb0="00040001" w:csb1="00000000"/>
  </w:font>
  <w:font w:name="仿宋_GB2312">
    <w:altName w:val="方正仿宋_GBK"/>
    <w:panose1 w:val="02010609030101010101"/>
    <w:charset w:val="00"/>
    <w:family w:val="auto"/>
    <w:pitch w:val="default"/>
    <w:sig w:usb0="00000000" w:usb1="00000000" w:usb2="00000000" w:usb3="00000000" w:csb0="00040000" w:csb1="00000000"/>
  </w:font>
  <w:font w:name="黑体">
    <w:altName w:val="汉仪中黑KW"/>
    <w:panose1 w:val="02010609060101010101"/>
    <w:charset w:val="00"/>
    <w:family w:val="auto"/>
    <w:pitch w:val="default"/>
    <w:sig w:usb0="00000000" w:usb1="00000000"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华文中宋">
    <w:altName w:val="苹方-简"/>
    <w:panose1 w:val="02010600040101010101"/>
    <w:charset w:val="00"/>
    <w:family w:val="auto"/>
    <w:pitch w:val="default"/>
    <w:sig w:usb0="00000000" w:usb1="00000000" w:usb2="00000000" w:usb3="00000000" w:csb0="0004009F" w:csb1="DFD70000"/>
  </w:font>
  <w:font w:name="楷体_GB2312">
    <w:altName w:val="汉仪楷体简"/>
    <w:panose1 w:val="02010609030101010101"/>
    <w:charset w:val="00"/>
    <w:family w:val="modern"/>
    <w:pitch w:val="default"/>
    <w:sig w:usb0="00000000" w:usb1="00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汉仪中黑KW">
    <w:panose1 w:val="00020600040101010101"/>
    <w:charset w:val="86"/>
    <w:family w:val="auto"/>
    <w:pitch w:val="default"/>
    <w:sig w:usb0="A00002BF" w:usb1="18EF7CFA" w:usb2="00000016" w:usb3="00000000" w:csb0="00040000" w:csb1="00000000"/>
  </w:font>
  <w:font w:name="汉仪楷体简">
    <w:panose1 w:val="02010600000101010101"/>
    <w:charset w:val="86"/>
    <w:family w:val="auto"/>
    <w:pitch w:val="default"/>
    <w:sig w:usb0="00000001" w:usb1="080E0800" w:usb2="00000002" w:usb3="00000000" w:csb0="00040000" w:csb1="00000000"/>
  </w:font>
  <w:font w:name="Arial">
    <w:panose1 w:val="020B0604020202090204"/>
    <w:charset w:val="00"/>
    <w:family w:val="swiss"/>
    <w:pitch w:val="default"/>
    <w:sig w:usb0="E0000AFF" w:usb1="00007843" w:usb2="00000001" w:usb3="00000000" w:csb0="400001BF" w:csb1="DFF70000"/>
  </w:font>
  <w:font w:name="楷体">
    <w:altName w:val="汉仪楷体KW"/>
    <w:panose1 w:val="02010609060101010101"/>
    <w:charset w:val="00"/>
    <w:family w:val="auto"/>
    <w:pitch w:val="default"/>
    <w:sig w:usb0="00000000" w:usb1="00000000" w:usb2="00000016" w:usb3="00000000" w:csb0="00040001" w:csb1="00000000"/>
  </w:font>
  <w:font w:name="汉仪楷体KW">
    <w:panose1 w:val="00020600040101010101"/>
    <w:charset w:val="86"/>
    <w:family w:val="auto"/>
    <w:pitch w:val="default"/>
    <w:sig w:usb0="A00002BF" w:usb1="18EF7CFA" w:usb2="00000016" w:usb3="00000000" w:csb0="0004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00000000" w:usb1="00000000"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微软雅黑">
    <w:altName w:val="汉仪旗黑"/>
    <w:panose1 w:val="020B0503020204020204"/>
    <w:charset w:val="86"/>
    <w:family w:val="auto"/>
    <w:pitch w:val="default"/>
    <w:sig w:usb0="00000000" w:usb1="00000000" w:usb2="00000016" w:usb3="00000000" w:csb0="0004001F" w:csb1="00000000"/>
  </w:font>
  <w:font w:name="Calibri Light">
    <w:altName w:val="Helvetica Neue"/>
    <w:panose1 w:val="020F0302020204030204"/>
    <w:charset w:val="00"/>
    <w:family w:val="swiss"/>
    <w:pitch w:val="default"/>
    <w:sig w:usb0="00000000" w:usb1="00000000" w:usb2="00000009" w:usb3="00000000" w:csb0="200001FF" w:csb1="00000000"/>
  </w:font>
  <w:font w:name="方正舒体">
    <w:altName w:val="华文宋体"/>
    <w:panose1 w:val="02010601030101010101"/>
    <w:charset w:val="86"/>
    <w:family w:val="auto"/>
    <w:pitch w:val="default"/>
    <w:sig w:usb0="00000000" w:usb1="00000000" w:usb2="00000000" w:usb3="00000000" w:csb0="00040000" w:csb1="00000000"/>
  </w:font>
  <w:font w:name="楷体_GB2312">
    <w:altName w:val="汉仪楷体简"/>
    <w:panose1 w:val="02010609030101010101"/>
    <w:charset w:val="86"/>
    <w:family w:val="modern"/>
    <w:pitch w:val="default"/>
    <w:sig w:usb0="00000000" w:usb1="00000000" w:usb2="00000010" w:usb3="00000000" w:csb0="00040000" w:csb1="00000000"/>
  </w:font>
  <w:font w:name="楷体">
    <w:altName w:val="汉仪楷体KW"/>
    <w:panose1 w:val="02010609060101010101"/>
    <w:charset w:val="86"/>
    <w:family w:val="auto"/>
    <w:pitch w:val="default"/>
    <w:sig w:usb0="00000000" w:usb1="00000000" w:usb2="00000016"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Nimbus Roman No9 L">
    <w:altName w:val="苹方-简"/>
    <w:panose1 w:val="00000000000000000000"/>
    <w:charset w:val="00"/>
    <w:family w:val="auto"/>
    <w:pitch w:val="default"/>
    <w:sig w:usb0="00000000" w:usb1="00000000" w:usb2="00000000" w:usb3="00000000" w:csb0="00040001" w:csb1="00000000"/>
  </w:font>
  <w:font w:name="方正楷体_GBK">
    <w:panose1 w:val="03000509000000000000"/>
    <w:charset w:val="86"/>
    <w:family w:val="auto"/>
    <w:pitch w:val="default"/>
    <w:sig w:usb0="00000001" w:usb1="080E0000" w:usb2="00000000" w:usb3="00000000" w:csb0="00040000" w:csb1="00000000"/>
  </w:font>
  <w:font w:name="Kingsoft Sign">
    <w:panose1 w:val="05050102010706020507"/>
    <w:charset w:val="00"/>
    <w:family w:val="auto"/>
    <w:pitch w:val="default"/>
    <w:sig w:usb0="00000000" w:usb1="10000000" w:usb2="00000000" w:usb3="00000000" w:csb0="00000001" w:csb1="00000000"/>
  </w:font>
  <w:font w:name="汉仪旗黑">
    <w:panose1 w:val="00020600040101010101"/>
    <w:charset w:val="86"/>
    <w:family w:val="auto"/>
    <w:pitch w:val="default"/>
    <w:sig w:usb0="A00002BF" w:usb1="1ACF7CFA" w:usb2="00000016" w:usb3="00000000" w:csb0="0004009F" w:csb1="DFD70000"/>
  </w:font>
  <w:font w:name="华文宋体">
    <w:panose1 w:val="02010600040101010101"/>
    <w:charset w:val="86"/>
    <w:family w:val="auto"/>
    <w:pitch w:val="default"/>
    <w:sig w:usb0="80000287" w:usb1="280F3C52" w:usb2="00000016" w:usb3="00000000" w:csb0="0004001F" w:csb1="00000000"/>
  </w:font>
  <w:font w:name="Apple Color Emoji">
    <w:panose1 w:val="00000000000000000000"/>
    <w:charset w:val="00"/>
    <w:family w:val="auto"/>
    <w:pitch w:val="default"/>
    <w:sig w:usb0="00000003" w:usb1="18000000" w:usb2="14000000" w:usb3="00000000" w:csb0="00000001" w:csb1="00000000"/>
  </w:font>
  <w:font w:name="FangSong_GB2312">
    <w:panose1 w:val="02010609030101010101"/>
    <w:charset w:val="86"/>
    <w:family w:val="auto"/>
    <w:pitch w:val="default"/>
    <w:sig w:usb0="00000001" w:usb1="080E0000" w:usb2="00000000" w:usb3="00000000" w:csb0="00040000" w:csb1="00000000"/>
  </w:font>
  <w:font w:name="DengXian">
    <w:altName w:val="汉仪中等线KW"/>
    <w:panose1 w:val="02010600030101010101"/>
    <w:charset w:val="86"/>
    <w:family w:val="auto"/>
    <w:pitch w:val="default"/>
    <w:sig w:usb0="00000000" w:usb1="00000000" w:usb2="00000016" w:usb3="00000000" w:csb0="0004000F" w:csb1="00000000"/>
  </w:font>
  <w:font w:name="DengXian Light">
    <w:altName w:val="汉仪中等线KW"/>
    <w:panose1 w:val="02010600030101010101"/>
    <w:charset w:val="86"/>
    <w:family w:val="auto"/>
    <w:pitch w:val="default"/>
    <w:sig w:usb0="00000000" w:usb1="00000000" w:usb2="00000016" w:usb3="00000000" w:csb0="0004000F" w:csb1="00000000"/>
  </w:font>
  <w:font w:name="DengXian">
    <w:altName w:val="汉仪中等线KW"/>
    <w:panose1 w:val="00000000000000000000"/>
    <w:charset w:val="00"/>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Courier New">
    <w:panose1 w:val="02070309020205020404"/>
    <w:charset w:val="00"/>
    <w:family w:val="modern"/>
    <w:pitch w:val="default"/>
    <w:sig w:usb0="E0002AFF" w:usb1="C0007843" w:usb2="00000009" w:usb3="00000000" w:csb0="400001FF" w:csb1="FFFF0000"/>
  </w:font>
  <w:font w:name="新宋体">
    <w:altName w:val="方正书宋_GBK"/>
    <w:panose1 w:val="02010609030101010101"/>
    <w:charset w:val="86"/>
    <w:family w:val="auto"/>
    <w:pitch w:val="default"/>
    <w:sig w:usb0="00000000" w:usb1="0000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4E22185"/>
    <w:multiLevelType w:val="multilevel"/>
    <w:tmpl w:val="F4E22185"/>
    <w:lvl w:ilvl="0" w:tentative="0">
      <w:start w:val="1"/>
      <w:numFmt w:val="decimal"/>
      <w:suff w:val="space"/>
      <w:lvlText w:val="第%1章"/>
      <w:lvlJc w:val="left"/>
      <w:pPr>
        <w:ind w:left="0" w:firstLine="0"/>
      </w:pPr>
      <w:rPr>
        <w:rFonts w:hint="eastAsia"/>
        <w:b/>
        <w:i w:val="0"/>
        <w:sz w:val="44"/>
        <w:szCs w:val="44"/>
        <w:lang w:val="en-US"/>
      </w:rPr>
    </w:lvl>
    <w:lvl w:ilvl="1" w:tentative="0">
      <w:start w:val="1"/>
      <w:numFmt w:val="decimal"/>
      <w:suff w:val="space"/>
      <w:lvlText w:val="%1.%2 "/>
      <w:lvlJc w:val="left"/>
      <w:pPr>
        <w:tabs>
          <w:tab w:val="left" w:pos="-3970"/>
        </w:tabs>
        <w:ind w:left="142" w:firstLine="0"/>
      </w:pPr>
      <w:rPr>
        <w:rFonts w:hint="default" w:ascii="Times New Roman" w:hAnsi="Times New Roman" w:cs="仿宋"/>
        <w:b/>
        <w:i w:val="0"/>
        <w:color w:val="000000"/>
        <w:sz w:val="36"/>
        <w:szCs w:val="36"/>
        <w:lang w:eastAsia="zh-CN"/>
      </w:rPr>
    </w:lvl>
    <w:lvl w:ilvl="2" w:tentative="0">
      <w:start w:val="1"/>
      <w:numFmt w:val="decimal"/>
      <w:pStyle w:val="5"/>
      <w:suff w:val="space"/>
      <w:lvlText w:val="%1.%2.%3 "/>
      <w:lvlJc w:val="left"/>
      <w:pPr>
        <w:ind w:left="284" w:firstLine="0"/>
      </w:pPr>
      <w:rPr>
        <w:b/>
        <w:bCs w:val="0"/>
        <w:i w:val="0"/>
        <w:iCs w:val="0"/>
        <w:caps w:val="0"/>
        <w:smallCaps w:val="0"/>
        <w:strike w:val="0"/>
        <w:dstrike w:val="0"/>
        <w:vanish w:val="0"/>
        <w:color w:val="000000"/>
        <w:spacing w:val="0"/>
        <w:position w:val="0"/>
        <w:u w:val="none"/>
        <w:vertAlign w:val="baseline"/>
        <w:lang w:val="en-US"/>
      </w:rPr>
    </w:lvl>
    <w:lvl w:ilvl="3" w:tentative="0">
      <w:start w:val="1"/>
      <w:numFmt w:val="decimal"/>
      <w:suff w:val="space"/>
      <w:lvlText w:val="%1.%2.%3.%4 "/>
      <w:lvlJc w:val="left"/>
      <w:pPr>
        <w:ind w:left="0" w:firstLine="0"/>
      </w:pPr>
      <w:rPr>
        <w:rFonts w:hint="default" w:ascii="Times New Roman" w:hAnsi="Times New Roman" w:cs="仿宋"/>
        <w:b/>
        <w:i w:val="0"/>
        <w:sz w:val="30"/>
        <w:szCs w:val="30"/>
        <w:lang w:val="en-US"/>
      </w:rPr>
    </w:lvl>
    <w:lvl w:ilvl="4" w:tentative="0">
      <w:start w:val="1"/>
      <w:numFmt w:val="decimal"/>
      <w:suff w:val="space"/>
      <w:lvlText w:val="%1.%2.%3.%4.%5 "/>
      <w:lvlJc w:val="left"/>
      <w:pPr>
        <w:ind w:left="426" w:firstLine="0"/>
      </w:pPr>
      <w:rPr>
        <w:rFonts w:hint="default" w:ascii="Times New Roman" w:hAnsi="Times New Roman" w:cs="Times New Roman"/>
        <w:b/>
        <w:i w:val="0"/>
        <w:sz w:val="24"/>
        <w:szCs w:val="24"/>
      </w:rPr>
    </w:lvl>
    <w:lvl w:ilvl="5" w:tentative="0">
      <w:start w:val="1"/>
      <w:numFmt w:val="decimal"/>
      <w:suff w:val="space"/>
      <w:lvlText w:val="%1.%2.%3.%4.%5.%6."/>
      <w:lvlJc w:val="left"/>
      <w:pPr>
        <w:ind w:left="0" w:firstLine="0"/>
      </w:pPr>
      <w:rPr>
        <w:rFonts w:hint="default" w:ascii="Arial" w:hAnsi="Arial"/>
        <w:b/>
        <w:i w:val="0"/>
        <w:sz w:val="24"/>
        <w:szCs w:val="24"/>
      </w:rPr>
    </w:lvl>
    <w:lvl w:ilvl="6" w:tentative="0">
      <w:start w:val="1"/>
      <w:numFmt w:val="decimal"/>
      <w:suff w:val="space"/>
      <w:lvlText w:val="%1.%2.%3.%4.%5.%6.%7."/>
      <w:lvlJc w:val="left"/>
      <w:pPr>
        <w:ind w:left="0" w:firstLine="0"/>
      </w:pPr>
      <w:rPr>
        <w:rFonts w:hint="default" w:ascii="Arial" w:hAnsi="Arial" w:cs="仿宋"/>
        <w:b/>
        <w:i w:val="0"/>
        <w:sz w:val="24"/>
        <w:szCs w:val="24"/>
      </w:rPr>
    </w:lvl>
    <w:lvl w:ilvl="7" w:tentative="0">
      <w:start w:val="1"/>
      <w:numFmt w:val="decimal"/>
      <w:suff w:val="space"/>
      <w:lvlText w:val="%1.%2.%3.%4.%5.%6.%7.%8."/>
      <w:lvlJc w:val="left"/>
      <w:pPr>
        <w:ind w:left="0" w:firstLine="0"/>
      </w:pPr>
      <w:rPr>
        <w:rFonts w:hint="default" w:ascii="Arial" w:hAnsi="Arial"/>
        <w:b/>
        <w:i w:val="0"/>
        <w:sz w:val="24"/>
        <w:szCs w:val="24"/>
      </w:rPr>
    </w:lvl>
    <w:lvl w:ilvl="8" w:tentative="0">
      <w:start w:val="1"/>
      <w:numFmt w:val="decimal"/>
      <w:suff w:val="space"/>
      <w:lvlText w:val="%1.%2.%3.%4.%5.%6.%7.%8.%9."/>
      <w:lvlJc w:val="left"/>
      <w:pPr>
        <w:ind w:left="0" w:firstLine="0"/>
      </w:pPr>
      <w:rPr>
        <w:rFonts w:hint="default" w:ascii="Arial" w:hAnsi="Arial"/>
        <w:b/>
        <w:i w:val="0"/>
        <w:sz w:val="24"/>
        <w:szCs w:val="24"/>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3FFA07"/>
    <w:rsid w:val="3DF5E5BE"/>
    <w:rsid w:val="57D3D1CE"/>
    <w:rsid w:val="5D8F2E34"/>
    <w:rsid w:val="6BBFE6D7"/>
    <w:rsid w:val="6E2EF98E"/>
    <w:rsid w:val="79B1A807"/>
    <w:rsid w:val="79FFBAEE"/>
    <w:rsid w:val="7CF95604"/>
    <w:rsid w:val="7DB510E4"/>
    <w:rsid w:val="7FD3358B"/>
    <w:rsid w:val="7FFF040B"/>
    <w:rsid w:val="D757C6D5"/>
    <w:rsid w:val="DDEEAFC5"/>
    <w:rsid w:val="E7BF55B0"/>
    <w:rsid w:val="EE9EDDEC"/>
    <w:rsid w:val="F3773E20"/>
    <w:rsid w:val="FB6DB7FE"/>
    <w:rsid w:val="FBBFBCC7"/>
    <w:rsid w:val="FF3FFA07"/>
    <w:rsid w:val="FFFB2C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1"/>
    <w:unhideWhenUsed/>
    <w:qFormat/>
    <w:uiPriority w:val="0"/>
    <w:pPr>
      <w:keepNext/>
      <w:keepLines/>
      <w:spacing w:before="260" w:after="260" w:line="415" w:lineRule="auto"/>
      <w:ind w:firstLine="0" w:firstLineChars="0"/>
      <w:outlineLvl w:val="1"/>
    </w:pPr>
    <w:rPr>
      <w:rFonts w:ascii="Cambria" w:hAnsi="Cambria" w:eastAsia="宋体"/>
      <w:b/>
      <w:bCs/>
      <w:szCs w:val="32"/>
    </w:rPr>
  </w:style>
  <w:style w:type="paragraph" w:styleId="5">
    <w:name w:val="heading 3"/>
    <w:basedOn w:val="1"/>
    <w:next w:val="1"/>
    <w:unhideWhenUsed/>
    <w:qFormat/>
    <w:uiPriority w:val="0"/>
    <w:pPr>
      <w:keepNext/>
      <w:keepLines/>
      <w:numPr>
        <w:ilvl w:val="2"/>
        <w:numId w:val="1"/>
      </w:numPr>
      <w:spacing w:before="260" w:after="260" w:line="413" w:lineRule="auto"/>
      <w:outlineLvl w:val="2"/>
    </w:pPr>
    <w:rPr>
      <w:b/>
      <w:sz w:val="32"/>
    </w:rPr>
  </w:style>
  <w:style w:type="character" w:default="1" w:styleId="10">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customStyle="1" w:styleId="2">
    <w:name w:val="正文首行缩进 21"/>
    <w:basedOn w:val="3"/>
    <w:qFormat/>
    <w:uiPriority w:val="0"/>
    <w:pPr>
      <w:ind w:firstLine="420" w:firstLineChars="200"/>
    </w:pPr>
  </w:style>
  <w:style w:type="paragraph" w:customStyle="1" w:styleId="3">
    <w:name w:val="正文文本缩进1"/>
    <w:basedOn w:val="1"/>
    <w:qFormat/>
    <w:uiPriority w:val="0"/>
    <w:pPr>
      <w:ind w:left="420" w:leftChars="200"/>
    </w:pPr>
  </w:style>
  <w:style w:type="paragraph" w:styleId="6">
    <w:name w:val="Body Text Indent"/>
    <w:basedOn w:val="1"/>
    <w:qFormat/>
    <w:uiPriority w:val="0"/>
    <w:pPr>
      <w:spacing w:after="120"/>
      <w:ind w:left="420" w:leftChars="200"/>
    </w:p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Body Text First Indent 2"/>
    <w:basedOn w:val="6"/>
    <w:qFormat/>
    <w:uiPriority w:val="0"/>
    <w:pPr>
      <w:ind w:firstLine="420" w:firstLineChars="200"/>
    </w:p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12">
    <w:name w:val="Default"/>
    <w:next w:val="1"/>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13">
    <w:name w:val="NormalCharacter"/>
    <w:qFormat/>
    <w:uiPriority w:val="0"/>
    <w:rPr>
      <w:rFonts w:ascii="Calibri" w:hAnsi="Calibri" w:eastAsia="仿宋_GB2312" w:cs="宋体"/>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Office_4.0.0.6524_F1E327BC-269C-435d-A152-05C5408002CA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2022-08-30T04:31:00Z</dcterms:created>
  <dc:creator>palidan</dc:creator>
  <cp:lastModifiedBy>palidan</cp:lastModifiedBy>
  <dcterms:modified xsi:type="dcterms:W3CDTF">2022-09-04T02:55:00Z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2052-4.0.0.6524</vt:lpwstr>
  </property>
</Properties>
</file>